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6915" w:type="dxa"/>
        <w:tblLook w:val="04A0" w:firstRow="1" w:lastRow="0" w:firstColumn="1" w:lastColumn="0" w:noHBand="0" w:noVBand="1"/>
      </w:tblPr>
      <w:tblGrid>
        <w:gridCol w:w="1535"/>
        <w:gridCol w:w="5757"/>
        <w:gridCol w:w="4043"/>
        <w:gridCol w:w="1530"/>
        <w:gridCol w:w="1909"/>
        <w:gridCol w:w="2141"/>
      </w:tblGrid>
      <w:tr w:rsidR="00B0699C" w14:paraId="19A5745C" w14:textId="77777777" w:rsidTr="0044574C">
        <w:trPr>
          <w:tblHeader/>
        </w:trPr>
        <w:tc>
          <w:tcPr>
            <w:tcW w:w="16915" w:type="dxa"/>
            <w:gridSpan w:val="6"/>
            <w:vAlign w:val="bottom"/>
          </w:tcPr>
          <w:p w14:paraId="4999FE76" w14:textId="77777777" w:rsidR="00237F89" w:rsidRDefault="00237F89" w:rsidP="00237F89">
            <w:pPr>
              <w:jc w:val="center"/>
              <w:rPr>
                <w:b/>
              </w:rPr>
            </w:pPr>
            <w:r w:rsidRPr="00B77EF6">
              <w:rPr>
                <w:b/>
              </w:rPr>
              <w:t>MYHEALTH AUTHORIZED DATA USES</w:t>
            </w:r>
          </w:p>
          <w:p w14:paraId="33C3E410" w14:textId="77777777" w:rsidR="00237F89" w:rsidRPr="00B77EF6" w:rsidRDefault="00237F89" w:rsidP="00237F89">
            <w:pPr>
              <w:jc w:val="center"/>
              <w:rPr>
                <w:b/>
              </w:rPr>
            </w:pPr>
            <w:r>
              <w:t>Last Updated: 1/16/2024</w:t>
            </w:r>
          </w:p>
          <w:p w14:paraId="7D110291" w14:textId="77777777" w:rsidR="00237F89" w:rsidRDefault="00237F89" w:rsidP="00237F89"/>
          <w:p w14:paraId="109C5CD4" w14:textId="77777777" w:rsidR="00237F89" w:rsidRDefault="00237F89" w:rsidP="00237F89">
            <w:r>
              <w:t xml:space="preserve">Per MyHealth Access Network’s Network Policies #1, #2, #9 and #10, and the MyHealth Participation Agreement Terms &amp; Conditions, MyHealth Data Suppliers have the opportunity to know about and provide direction regarding the permitted uses of the data they submit to the Network.  Notifications have been sent out to MyHealth Data Suppliers for each of these uses, as they have been approved, and this document is intended to help MyHealth stakeholders establish and maintain awareness of these permitted uses. To limit the use of data for any of these purposes, or ask other questions about these uses, MyHealth Data Suppliers may contact their MyHealth Account Representative. MyHealth may also be reached at 918-236-3434 or </w:t>
            </w:r>
            <w:hyperlink r:id="rId8" w:history="1">
              <w:r w:rsidRPr="001F0D75">
                <w:rPr>
                  <w:rStyle w:val="Hyperlink"/>
                </w:rPr>
                <w:t>myhealth@myhealthaccess.net</w:t>
              </w:r>
            </w:hyperlink>
            <w:r>
              <w:t>.</w:t>
            </w:r>
          </w:p>
          <w:p w14:paraId="59A1F713" w14:textId="77777777" w:rsidR="00237F89" w:rsidRDefault="00237F89" w:rsidP="00237F89"/>
          <w:p w14:paraId="35906760" w14:textId="77777777" w:rsidR="00237F89" w:rsidRDefault="00237F89" w:rsidP="00237F89">
            <w:r>
              <w:t xml:space="preserve">For easy reference, the following permitted purposes for use or disclosure of PHI are permitted, as described in Policy 9 of the </w:t>
            </w:r>
            <w:hyperlink r:id="rId9" w:history="1">
              <w:r w:rsidRPr="00A41487">
                <w:rPr>
                  <w:rStyle w:val="Hyperlink"/>
                </w:rPr>
                <w:t>MyHealth Network Policies</w:t>
              </w:r>
            </w:hyperlink>
            <w:r>
              <w:t>:</w:t>
            </w:r>
          </w:p>
          <w:p w14:paraId="7FDA8EAF" w14:textId="77777777" w:rsidR="00237F89" w:rsidRDefault="00237F89" w:rsidP="00237F89"/>
          <w:p w14:paraId="7EA0D458" w14:textId="77777777" w:rsidR="00237F89" w:rsidRDefault="00237F89" w:rsidP="00237F89">
            <w:r>
              <w:t>Data may be used or disclosed:</w:t>
            </w:r>
          </w:p>
          <w:p w14:paraId="7AFF2F13" w14:textId="77777777" w:rsidR="00237F89" w:rsidRDefault="00237F89" w:rsidP="00237F89">
            <w:pPr>
              <w:pStyle w:val="ListParagraph"/>
              <w:numPr>
                <w:ilvl w:val="0"/>
                <w:numId w:val="2"/>
              </w:numPr>
            </w:pPr>
            <w:r>
              <w:t>Disclose PHI for treatment, payment, or health care operations purposes, as defined by 45 CFR § 164.501;</w:t>
            </w:r>
          </w:p>
          <w:p w14:paraId="2ABDD687" w14:textId="77777777" w:rsidR="00237F89" w:rsidRDefault="00237F89" w:rsidP="00237F89">
            <w:pPr>
              <w:pStyle w:val="ListParagraph"/>
              <w:numPr>
                <w:ilvl w:val="0"/>
                <w:numId w:val="2"/>
              </w:numPr>
            </w:pPr>
            <w:r>
              <w:t>To coroners and medical examiners consistent with 63 O.S. §941 and 45 CFR § 164.512(g)(1);</w:t>
            </w:r>
          </w:p>
          <w:p w14:paraId="4FDBBECD" w14:textId="77777777" w:rsidR="00237F89" w:rsidRPr="003C1D1F" w:rsidRDefault="00237F89" w:rsidP="00237F89">
            <w:pPr>
              <w:pStyle w:val="ListParagraph"/>
              <w:numPr>
                <w:ilvl w:val="0"/>
                <w:numId w:val="2"/>
              </w:numPr>
            </w:pPr>
            <w:r>
              <w:t>To organ procurement organizations, tissue banks and eye banks consistent with 63 O.S. §2200, 45 CFR § 164.512(h) and 42 CFR §482.45;</w:t>
            </w:r>
          </w:p>
          <w:p w14:paraId="3C339C6F" w14:textId="77777777" w:rsidR="00237F89" w:rsidRDefault="00237F89" w:rsidP="00237F89">
            <w:pPr>
              <w:pStyle w:val="ListParagraph"/>
              <w:numPr>
                <w:ilvl w:val="0"/>
                <w:numId w:val="2"/>
              </w:numPr>
            </w:pPr>
            <w:r>
              <w:t>To a Data Recipient based on a valid authorization for the unrestricted release of an Individual’s medical record, consistent with 63 O.S. §1-505.2 and 45 CFR § 164.508;</w:t>
            </w:r>
          </w:p>
          <w:p w14:paraId="23051FA0" w14:textId="77777777" w:rsidR="00237F89" w:rsidRPr="003C1D1F" w:rsidRDefault="00237F89" w:rsidP="00237F89">
            <w:pPr>
              <w:pStyle w:val="ListParagraph"/>
              <w:numPr>
                <w:ilvl w:val="0"/>
                <w:numId w:val="2"/>
              </w:numPr>
            </w:pPr>
            <w:r>
              <w:t>To the Individual in order to fulfill a request to access, exchange or use electronic health information (EHI), as defined by 45 CFR § 171, subject to Policy 22: Requests for Access to Records by an Individual.</w:t>
            </w:r>
          </w:p>
          <w:p w14:paraId="169AF3AD" w14:textId="77777777" w:rsidR="00237F89" w:rsidRPr="003C1D1F" w:rsidRDefault="00237F89" w:rsidP="00237F89">
            <w:pPr>
              <w:pStyle w:val="ListParagraph"/>
              <w:numPr>
                <w:ilvl w:val="0"/>
                <w:numId w:val="2"/>
              </w:numPr>
            </w:pPr>
            <w:r>
              <w:t xml:space="preserve">To conduct the Network’s operations, including maintenance, reporting, monitoring, troubleshooting, and other essential activities to support its role in its Agreements; </w:t>
            </w:r>
          </w:p>
          <w:p w14:paraId="5182F050" w14:textId="77777777" w:rsidR="00237F89" w:rsidRPr="003C1D1F" w:rsidRDefault="00237F89" w:rsidP="00237F89">
            <w:pPr>
              <w:pStyle w:val="ListParagraph"/>
              <w:numPr>
                <w:ilvl w:val="0"/>
                <w:numId w:val="2"/>
              </w:numPr>
            </w:pPr>
            <w:r>
              <w:t>Subject to the approval process in Policy 10: Analytics and Research, PHI may be used and disclosed for any purpose consistent with HIPAA and other Applicable Law not otherwise permitted by this policy;</w:t>
            </w:r>
          </w:p>
          <w:p w14:paraId="274A1D4F" w14:textId="77777777" w:rsidR="00237F89" w:rsidRPr="003C1D1F" w:rsidRDefault="00237F89" w:rsidP="00237F89">
            <w:pPr>
              <w:pStyle w:val="ListParagraph"/>
              <w:numPr>
                <w:ilvl w:val="0"/>
                <w:numId w:val="2"/>
              </w:numPr>
            </w:pPr>
            <w:r>
              <w:t xml:space="preserve">For research, subject to the approval process in Policy 10: Analytics and Research. Research is defined as a systematic investigation, including research development, testing, and evaluation, designed to develop or contribute to generalizable knowledge; </w:t>
            </w:r>
          </w:p>
          <w:p w14:paraId="615316EB" w14:textId="77777777" w:rsidR="00237F89" w:rsidRPr="003C1D1F" w:rsidRDefault="00237F89" w:rsidP="00237F89">
            <w:pPr>
              <w:pStyle w:val="ListParagraph"/>
              <w:numPr>
                <w:ilvl w:val="0"/>
                <w:numId w:val="2"/>
              </w:numPr>
            </w:pPr>
            <w:r>
              <w:t xml:space="preserve">For public health activities, as described in </w:t>
            </w:r>
            <w:r w:rsidRPr="00456469">
              <w:t>45 CFR §164.512(b)</w:t>
            </w:r>
            <w:r>
              <w:t>, and for public health reporting, to the extent the Network is authorized to provide required reports on behalf of Data Suppliers, or the Network approves public health uses under the process described in Policy 10: Analytics and Research, and</w:t>
            </w:r>
          </w:p>
          <w:p w14:paraId="4BA3308E" w14:textId="77777777" w:rsidR="00237F89" w:rsidRPr="00456469" w:rsidRDefault="00237F89" w:rsidP="00237F89">
            <w:pPr>
              <w:pStyle w:val="ListParagraph"/>
              <w:numPr>
                <w:ilvl w:val="0"/>
                <w:numId w:val="2"/>
              </w:numPr>
            </w:pPr>
            <w:r w:rsidRPr="00456469">
              <w:t xml:space="preserve">For purposes explicitly authorized in writing by the Data </w:t>
            </w:r>
            <w:r>
              <w:t>Supplier</w:t>
            </w:r>
            <w:r w:rsidRPr="00456469">
              <w:t xml:space="preserve">. </w:t>
            </w:r>
          </w:p>
          <w:p w14:paraId="4E8A82BD" w14:textId="77777777" w:rsidR="00237F89" w:rsidRDefault="00237F89" w:rsidP="00237F89"/>
          <w:p w14:paraId="447B1F3D" w14:textId="77777777" w:rsidR="00B0699C" w:rsidRDefault="00237F89" w:rsidP="00237F89">
            <w:r>
              <w:t>The following uses are approved and in use to the extent described here, in compliance with Policy 10 (note: documentation of the request approved by the Board is available at the link in the Label column) (begins on the next page):</w:t>
            </w:r>
          </w:p>
          <w:p w14:paraId="45BFEB95" w14:textId="77777777" w:rsidR="00A25B60" w:rsidRDefault="00A25B60" w:rsidP="00237F89">
            <w:pPr>
              <w:rPr>
                <w:b/>
              </w:rPr>
            </w:pPr>
          </w:p>
          <w:p w14:paraId="7640B582" w14:textId="77777777" w:rsidR="00A25B60" w:rsidRDefault="00A25B60" w:rsidP="00237F89">
            <w:pPr>
              <w:rPr>
                <w:b/>
              </w:rPr>
            </w:pPr>
          </w:p>
          <w:p w14:paraId="6FDAADE1" w14:textId="77777777" w:rsidR="00A25B60" w:rsidRDefault="00A25B60" w:rsidP="00237F89">
            <w:pPr>
              <w:rPr>
                <w:b/>
              </w:rPr>
            </w:pPr>
          </w:p>
          <w:p w14:paraId="7AD6B332" w14:textId="4E59EC46" w:rsidR="00A25B60" w:rsidRDefault="00A25B60" w:rsidP="00237F89">
            <w:pPr>
              <w:rPr>
                <w:b/>
              </w:rPr>
            </w:pPr>
          </w:p>
        </w:tc>
      </w:tr>
      <w:tr w:rsidR="00E5461F" w14:paraId="3023509D" w14:textId="77777777" w:rsidTr="00E5461F">
        <w:trPr>
          <w:tblHeader/>
        </w:trPr>
        <w:tc>
          <w:tcPr>
            <w:tcW w:w="1535" w:type="dxa"/>
            <w:vAlign w:val="bottom"/>
          </w:tcPr>
          <w:p w14:paraId="06F7D082" w14:textId="77777777" w:rsidR="00E73AC2" w:rsidRPr="00EA746D" w:rsidRDefault="00E73AC2" w:rsidP="00655CD5">
            <w:pPr>
              <w:rPr>
                <w:b/>
              </w:rPr>
            </w:pPr>
            <w:r w:rsidRPr="00EA746D">
              <w:rPr>
                <w:b/>
              </w:rPr>
              <w:lastRenderedPageBreak/>
              <w:t>Label</w:t>
            </w:r>
          </w:p>
        </w:tc>
        <w:tc>
          <w:tcPr>
            <w:tcW w:w="5757" w:type="dxa"/>
            <w:vAlign w:val="bottom"/>
          </w:tcPr>
          <w:p w14:paraId="6C06B87B" w14:textId="77777777" w:rsidR="00E73AC2" w:rsidRPr="00EA746D" w:rsidRDefault="00E73AC2" w:rsidP="00655CD5">
            <w:pPr>
              <w:rPr>
                <w:b/>
              </w:rPr>
            </w:pPr>
            <w:r w:rsidRPr="00EA746D">
              <w:rPr>
                <w:b/>
              </w:rPr>
              <w:t>Describe approved use</w:t>
            </w:r>
          </w:p>
        </w:tc>
        <w:tc>
          <w:tcPr>
            <w:tcW w:w="4043" w:type="dxa"/>
            <w:vAlign w:val="bottom"/>
          </w:tcPr>
          <w:p w14:paraId="58E03BCC" w14:textId="77777777" w:rsidR="00E73AC2" w:rsidRPr="00EA746D" w:rsidRDefault="00EA746D" w:rsidP="00655CD5">
            <w:pPr>
              <w:rPr>
                <w:b/>
              </w:rPr>
            </w:pPr>
            <w:r>
              <w:rPr>
                <w:b/>
              </w:rPr>
              <w:t>Characteristics</w:t>
            </w:r>
          </w:p>
        </w:tc>
        <w:tc>
          <w:tcPr>
            <w:tcW w:w="1530" w:type="dxa"/>
            <w:vAlign w:val="bottom"/>
          </w:tcPr>
          <w:p w14:paraId="2D62D75A" w14:textId="77777777" w:rsidR="00E73AC2" w:rsidRPr="00EA746D" w:rsidRDefault="00E73AC2" w:rsidP="00655CD5">
            <w:pPr>
              <w:rPr>
                <w:b/>
              </w:rPr>
            </w:pPr>
            <w:r w:rsidRPr="00EA746D">
              <w:rPr>
                <w:b/>
              </w:rPr>
              <w:t>From which sources?</w:t>
            </w:r>
          </w:p>
        </w:tc>
        <w:tc>
          <w:tcPr>
            <w:tcW w:w="1909" w:type="dxa"/>
            <w:vAlign w:val="bottom"/>
          </w:tcPr>
          <w:p w14:paraId="43EC7428" w14:textId="77777777" w:rsidR="00E73AC2" w:rsidRPr="00EA746D" w:rsidRDefault="00E73AC2" w:rsidP="00655CD5">
            <w:pPr>
              <w:rPr>
                <w:b/>
              </w:rPr>
            </w:pPr>
            <w:r w:rsidRPr="00EA746D">
              <w:rPr>
                <w:b/>
              </w:rPr>
              <w:t>To who</w:t>
            </w:r>
            <w:r w:rsidR="001B1073">
              <w:rPr>
                <w:b/>
              </w:rPr>
              <w:t>m</w:t>
            </w:r>
            <w:r w:rsidRPr="00EA746D">
              <w:rPr>
                <w:b/>
              </w:rPr>
              <w:t>?</w:t>
            </w:r>
          </w:p>
        </w:tc>
        <w:tc>
          <w:tcPr>
            <w:tcW w:w="2141" w:type="dxa"/>
            <w:vAlign w:val="bottom"/>
          </w:tcPr>
          <w:p w14:paraId="613101EA" w14:textId="77777777" w:rsidR="00E73AC2" w:rsidRPr="00EA746D" w:rsidRDefault="00BA0550" w:rsidP="00655CD5">
            <w:pPr>
              <w:rPr>
                <w:b/>
              </w:rPr>
            </w:pPr>
            <w:r>
              <w:rPr>
                <w:b/>
              </w:rPr>
              <w:t>Authorization/Status</w:t>
            </w:r>
          </w:p>
        </w:tc>
      </w:tr>
      <w:tr w:rsidR="000976DB" w:rsidRPr="001E6F27" w14:paraId="64EFBF9F" w14:textId="77777777" w:rsidTr="00E5461F">
        <w:trPr>
          <w:tblHeader/>
        </w:trPr>
        <w:tc>
          <w:tcPr>
            <w:tcW w:w="1535" w:type="dxa"/>
          </w:tcPr>
          <w:p w14:paraId="13387516" w14:textId="1647D36E" w:rsidR="008E1D28" w:rsidRPr="008D015C" w:rsidRDefault="00595C6F" w:rsidP="004E321E">
            <w:pPr>
              <w:rPr>
                <w:b/>
                <w:bCs/>
              </w:rPr>
            </w:pPr>
            <w:hyperlink r:id="rId10" w:history="1">
              <w:r w:rsidR="008E1D28" w:rsidRPr="008D015C">
                <w:rPr>
                  <w:rStyle w:val="Hyperlink"/>
                  <w:b/>
                  <w:bCs/>
                </w:rPr>
                <w:t>FDA – Sentinel Proof of Concept (1051)</w:t>
              </w:r>
            </w:hyperlink>
          </w:p>
        </w:tc>
        <w:tc>
          <w:tcPr>
            <w:tcW w:w="5757" w:type="dxa"/>
          </w:tcPr>
          <w:p w14:paraId="77F08B7B" w14:textId="11EC4519" w:rsidR="008E1D28" w:rsidRDefault="008D015C" w:rsidP="004E321E">
            <w:r>
              <w:t>Food &amp; Drug Administration one-time pilot project to see if data (de-identified) in this network and networks like it can be used for better field monitoring of expected and actual performance of approved medications</w:t>
            </w:r>
            <w:r w:rsidR="00835B8A">
              <w:t xml:space="preserve"> (public health surveillance, only aggregated, non-small cell size, non-identifiable data included)</w:t>
            </w:r>
            <w:r>
              <w:t>.</w:t>
            </w:r>
            <w:r w:rsidR="00835B8A">
              <w:t xml:space="preserve"> Specific measures requested are in the detail accessible in the link.</w:t>
            </w:r>
          </w:p>
        </w:tc>
        <w:tc>
          <w:tcPr>
            <w:tcW w:w="4043" w:type="dxa"/>
          </w:tcPr>
          <w:p w14:paraId="26EC65A9" w14:textId="77777777" w:rsidR="008D015C" w:rsidRDefault="008D015C" w:rsidP="008D015C">
            <w:r>
              <w:t>Row-level data? No</w:t>
            </w:r>
          </w:p>
          <w:p w14:paraId="5604D70A" w14:textId="77777777" w:rsidR="008D015C" w:rsidRDefault="008D015C" w:rsidP="008D015C">
            <w:r>
              <w:t>Identifiable data? No</w:t>
            </w:r>
          </w:p>
          <w:p w14:paraId="12BA81E3" w14:textId="65778A8C" w:rsidR="008D015C" w:rsidRDefault="008D015C" w:rsidP="008D015C">
            <w:r>
              <w:t>Shared publicly? Yes – report to the FDA</w:t>
            </w:r>
          </w:p>
          <w:p w14:paraId="1815A07B" w14:textId="141CC318" w:rsidR="008D015C" w:rsidRDefault="008D015C" w:rsidP="008D015C">
            <w:r>
              <w:t>Data time period?  All available data</w:t>
            </w:r>
          </w:p>
          <w:p w14:paraId="6223DA41" w14:textId="5389E520" w:rsidR="008E1D28" w:rsidRDefault="008D015C" w:rsidP="008D015C">
            <w:r>
              <w:t>Continuous?  No – this is a 1-time report, to be delivered in early 2024.</w:t>
            </w:r>
          </w:p>
        </w:tc>
        <w:tc>
          <w:tcPr>
            <w:tcW w:w="1530" w:type="dxa"/>
          </w:tcPr>
          <w:p w14:paraId="1478D119" w14:textId="7C825938" w:rsidR="008E1D28" w:rsidRDefault="008D015C" w:rsidP="004E321E">
            <w:r>
              <w:t xml:space="preserve">All </w:t>
            </w:r>
            <w:r w:rsidR="00B0699C">
              <w:t>D</w:t>
            </w:r>
            <w:r>
              <w:t xml:space="preserve">ata </w:t>
            </w:r>
            <w:r w:rsidR="00B0699C">
              <w:t>Suppliers</w:t>
            </w:r>
            <w:r>
              <w:t xml:space="preserve"> (except any who request exclusion)</w:t>
            </w:r>
          </w:p>
        </w:tc>
        <w:tc>
          <w:tcPr>
            <w:tcW w:w="1909" w:type="dxa"/>
          </w:tcPr>
          <w:p w14:paraId="79FA6B9E" w14:textId="23A17FB3" w:rsidR="008E1D28" w:rsidRDefault="008D015C" w:rsidP="004E321E">
            <w:r>
              <w:t xml:space="preserve">Harvard Pilgrim </w:t>
            </w:r>
            <w:r w:rsidR="00835B8A">
              <w:t>Health Care, Inc. at Mass General Brigham, on behalf of (under contract) with United States Food &amp; Drug Administration</w:t>
            </w:r>
          </w:p>
        </w:tc>
        <w:tc>
          <w:tcPr>
            <w:tcW w:w="2141" w:type="dxa"/>
          </w:tcPr>
          <w:p w14:paraId="03BC618C" w14:textId="77777777" w:rsidR="008E1D28" w:rsidRDefault="00835B8A" w:rsidP="004E321E">
            <w:r>
              <w:t>Board approved: 12/12/2023.</w:t>
            </w:r>
          </w:p>
          <w:p w14:paraId="16FF8DCD" w14:textId="5B51C5D2" w:rsidR="00835B8A" w:rsidRDefault="00835B8A" w:rsidP="004E321E">
            <w:r>
              <w:t>Work and dataset delivery planned for early spring 2024.</w:t>
            </w:r>
            <w:r w:rsidR="00FA637A">
              <w:t xml:space="preserve"> (not before 2/</w:t>
            </w:r>
            <w:r w:rsidR="004523B8">
              <w:t>1</w:t>
            </w:r>
            <w:r w:rsidR="00595C6F">
              <w:t>9</w:t>
            </w:r>
            <w:r w:rsidR="004523B8">
              <w:t>/2024)</w:t>
            </w:r>
          </w:p>
        </w:tc>
      </w:tr>
      <w:tr w:rsidR="00E5461F" w:rsidRPr="001E6F27" w14:paraId="2B2BE83A" w14:textId="77777777" w:rsidTr="00E5461F">
        <w:trPr>
          <w:tblHeader/>
        </w:trPr>
        <w:tc>
          <w:tcPr>
            <w:tcW w:w="1535" w:type="dxa"/>
          </w:tcPr>
          <w:p w14:paraId="3DAC841F" w14:textId="40ED2D50" w:rsidR="00C6416B" w:rsidRPr="001E6F27" w:rsidRDefault="00595C6F" w:rsidP="004E321E">
            <w:pPr>
              <w:rPr>
                <w:rStyle w:val="Hyperlink"/>
                <w:b/>
              </w:rPr>
            </w:pPr>
            <w:hyperlink r:id="rId11" w:history="1">
              <w:r w:rsidR="000F7B99" w:rsidRPr="005A1743">
                <w:rPr>
                  <w:rStyle w:val="Hyperlink"/>
                  <w:b/>
                </w:rPr>
                <w:t xml:space="preserve">ER Utilization </w:t>
              </w:r>
              <w:r w:rsidR="001E6F27" w:rsidRPr="005A1743">
                <w:rPr>
                  <w:rStyle w:val="Hyperlink"/>
                  <w:b/>
                </w:rPr>
                <w:t xml:space="preserve">tied </w:t>
              </w:r>
              <w:r w:rsidR="000F7B99" w:rsidRPr="005A1743">
                <w:rPr>
                  <w:rStyle w:val="Hyperlink"/>
                  <w:b/>
                </w:rPr>
                <w:t>to Medicaid Expansion</w:t>
              </w:r>
              <w:r w:rsidR="001E6F27" w:rsidRPr="005A1743">
                <w:rPr>
                  <w:rStyle w:val="Hyperlink"/>
                  <w:b/>
                </w:rPr>
                <w:t xml:space="preserve"> (1050)</w:t>
              </w:r>
            </w:hyperlink>
          </w:p>
        </w:tc>
        <w:tc>
          <w:tcPr>
            <w:tcW w:w="5757" w:type="dxa"/>
          </w:tcPr>
          <w:p w14:paraId="1E556491" w14:textId="44E198FE" w:rsidR="00C6416B" w:rsidRPr="001E6F27" w:rsidRDefault="002732E4" w:rsidP="004E321E">
            <w:r>
              <w:t xml:space="preserve">OHCA </w:t>
            </w:r>
            <w:r w:rsidR="001A6C85">
              <w:t xml:space="preserve">request for a limited dataset (excluding identifiers) </w:t>
            </w:r>
            <w:r w:rsidR="00F20F90">
              <w:t xml:space="preserve">with aggregated counts of ER utilizations by individuals who gained </w:t>
            </w:r>
            <w:r w:rsidR="00B93D54">
              <w:t xml:space="preserve">coverage under Medicaid expansion both before and after they gained the coverage. The dataset </w:t>
            </w:r>
            <w:r w:rsidR="00DD2966">
              <w:t xml:space="preserve">includes demographic slicers such as age bands, gender, rural/urban facilities etc. Dataset will be used for internal </w:t>
            </w:r>
            <w:r w:rsidR="00F362E0">
              <w:t>healthcare operations purposes.</w:t>
            </w:r>
          </w:p>
        </w:tc>
        <w:tc>
          <w:tcPr>
            <w:tcW w:w="4043" w:type="dxa"/>
          </w:tcPr>
          <w:p w14:paraId="5BCE187A" w14:textId="26ED22A5" w:rsidR="00F362E0" w:rsidRDefault="00F362E0" w:rsidP="00F362E0">
            <w:r>
              <w:t>Row-level data? No</w:t>
            </w:r>
          </w:p>
          <w:p w14:paraId="0C8DF776" w14:textId="6D2280BA" w:rsidR="00F362E0" w:rsidRDefault="00F362E0" w:rsidP="00F362E0">
            <w:r>
              <w:t>Identifiable data? No</w:t>
            </w:r>
          </w:p>
          <w:p w14:paraId="3D5B1600" w14:textId="77777777" w:rsidR="00F362E0" w:rsidRDefault="00F362E0" w:rsidP="00F362E0">
            <w:r>
              <w:t>Shared publicly? No</w:t>
            </w:r>
          </w:p>
          <w:p w14:paraId="6A67D750" w14:textId="21584855" w:rsidR="00F362E0" w:rsidRDefault="00F362E0" w:rsidP="00F362E0">
            <w:r>
              <w:t xml:space="preserve">Data time period?  </w:t>
            </w:r>
            <w:r w:rsidR="00FA3541">
              <w:t>7/1/2020 forward</w:t>
            </w:r>
          </w:p>
          <w:p w14:paraId="2CBC05AF" w14:textId="0A883CA8" w:rsidR="00F362E0" w:rsidRDefault="008D015C" w:rsidP="00F362E0">
            <w:r>
              <w:t>Continuous?</w:t>
            </w:r>
            <w:r w:rsidR="00EF199E">
              <w:t xml:space="preserve"> </w:t>
            </w:r>
            <w:r>
              <w:t>No. Need 1-2 reports. Initial report, then if requested, possibly</w:t>
            </w:r>
            <w:r w:rsidR="00886AA3">
              <w:t xml:space="preserve"> one or more update </w:t>
            </w:r>
            <w:r>
              <w:t>after a period of time (ex: 6 months, 1 year)</w:t>
            </w:r>
          </w:p>
          <w:p w14:paraId="4CFFD735" w14:textId="77777777" w:rsidR="00C6416B" w:rsidRPr="001E6F27" w:rsidRDefault="00C6416B" w:rsidP="004E321E"/>
        </w:tc>
        <w:tc>
          <w:tcPr>
            <w:tcW w:w="1530" w:type="dxa"/>
          </w:tcPr>
          <w:p w14:paraId="0DEFDF81" w14:textId="4D3D5DE2" w:rsidR="00C6416B" w:rsidRPr="001E6F27" w:rsidRDefault="00675DC8" w:rsidP="004E321E">
            <w:r>
              <w:t xml:space="preserve">All </w:t>
            </w:r>
            <w:r w:rsidR="00835B8A">
              <w:t xml:space="preserve">clinical </w:t>
            </w:r>
            <w:r w:rsidR="00B0699C">
              <w:t>D</w:t>
            </w:r>
            <w:r>
              <w:t xml:space="preserve">ata </w:t>
            </w:r>
            <w:r w:rsidR="00B0699C">
              <w:t>Suppliers</w:t>
            </w:r>
            <w:r w:rsidR="008D015C">
              <w:t xml:space="preserve"> (except any who request exclusion)</w:t>
            </w:r>
          </w:p>
        </w:tc>
        <w:tc>
          <w:tcPr>
            <w:tcW w:w="1909" w:type="dxa"/>
          </w:tcPr>
          <w:p w14:paraId="465E03C5" w14:textId="5210E2A5" w:rsidR="00C6416B" w:rsidRPr="001E6F27" w:rsidRDefault="00675DC8" w:rsidP="004E321E">
            <w:r>
              <w:t>OHCA</w:t>
            </w:r>
          </w:p>
        </w:tc>
        <w:tc>
          <w:tcPr>
            <w:tcW w:w="2141" w:type="dxa"/>
          </w:tcPr>
          <w:p w14:paraId="7D9BD9AD" w14:textId="77777777" w:rsidR="00C6416B" w:rsidRDefault="00675DC8" w:rsidP="004E321E">
            <w:r>
              <w:t>Board approved:</w:t>
            </w:r>
          </w:p>
          <w:p w14:paraId="1FC38757" w14:textId="710350FC" w:rsidR="00675DC8" w:rsidRPr="001E6F27" w:rsidRDefault="00675DC8" w:rsidP="004E321E">
            <w:r>
              <w:t>6/14/2022</w:t>
            </w:r>
            <w:r w:rsidR="005E41AF">
              <w:t>.</w:t>
            </w:r>
            <w:r w:rsidR="008E1D28">
              <w:t xml:space="preserve">  </w:t>
            </w:r>
            <w:r w:rsidR="008D015C">
              <w:t>Initial d</w:t>
            </w:r>
            <w:r w:rsidR="008E1D28">
              <w:t>ataset delivered to OHCA in 2022. May be requested again.</w:t>
            </w:r>
          </w:p>
        </w:tc>
      </w:tr>
      <w:tr w:rsidR="00E5461F" w:rsidRPr="00C57405" w14:paraId="5EC08481" w14:textId="77777777" w:rsidTr="00E5461F">
        <w:trPr>
          <w:tblHeader/>
        </w:trPr>
        <w:tc>
          <w:tcPr>
            <w:tcW w:w="1535" w:type="dxa"/>
          </w:tcPr>
          <w:p w14:paraId="52068516" w14:textId="77777777" w:rsidR="00C30EEB" w:rsidRDefault="00595C6F" w:rsidP="004E321E">
            <w:pPr>
              <w:rPr>
                <w:b/>
                <w:bCs/>
              </w:rPr>
            </w:pPr>
            <w:hyperlink r:id="rId12" w:history="1">
              <w:r w:rsidR="00C30EEB" w:rsidRPr="00AF37DE">
                <w:rPr>
                  <w:rStyle w:val="Hyperlink"/>
                  <w:b/>
                  <w:bCs/>
                </w:rPr>
                <w:t>Data Delivery to Payers (1045)</w:t>
              </w:r>
            </w:hyperlink>
          </w:p>
          <w:p w14:paraId="5F2C85AA" w14:textId="77777777" w:rsidR="00C30EEB" w:rsidRDefault="00C30EEB" w:rsidP="004E321E">
            <w:pPr>
              <w:rPr>
                <w:b/>
                <w:bCs/>
              </w:rPr>
            </w:pPr>
          </w:p>
          <w:p w14:paraId="1BE9CA2E" w14:textId="16D33C5A" w:rsidR="00C30EEB" w:rsidRDefault="00C30EEB" w:rsidP="004E321E">
            <w:r>
              <w:t xml:space="preserve">(supersedes and incorporates </w:t>
            </w:r>
            <w:hyperlink r:id="rId13" w:history="1">
              <w:r w:rsidRPr="00EF6018">
                <w:rPr>
                  <w:rStyle w:val="Hyperlink"/>
                  <w:b/>
                  <w:bCs/>
                </w:rPr>
                <w:t>Payer – ADTs and Labs (1025)</w:t>
              </w:r>
            </w:hyperlink>
            <w:r w:rsidRPr="00EF6018">
              <w:t xml:space="preserve"> 6/14/2016)</w:t>
            </w:r>
          </w:p>
        </w:tc>
        <w:tc>
          <w:tcPr>
            <w:tcW w:w="5757" w:type="dxa"/>
          </w:tcPr>
          <w:p w14:paraId="7FDA0176" w14:textId="5B2F87D1" w:rsidR="00C30EEB" w:rsidRDefault="00C30EEB" w:rsidP="004E321E">
            <w:r>
              <w:t xml:space="preserve">Payers who are participants </w:t>
            </w:r>
            <w:r w:rsidR="008A37BA">
              <w:t>or subscribers to</w:t>
            </w:r>
            <w:r>
              <w:t xml:space="preserve"> MyHealth may have specified protected health information delivered to them by MyHealth data sources under the following conditions:</w:t>
            </w:r>
          </w:p>
          <w:p w14:paraId="6976FDE8" w14:textId="37C1AC65" w:rsidR="00C30EEB" w:rsidRDefault="00C30EEB" w:rsidP="004E321E">
            <w:r w:rsidRPr="00817694">
              <w:rPr>
                <w:b/>
                <w:bCs/>
              </w:rPr>
              <w:t>1</w:t>
            </w:r>
            <w:r>
              <w:t>) a data source has not instructed MyHealth to withhold its clinical information from the payer.</w:t>
            </w:r>
          </w:p>
          <w:p w14:paraId="14F798CE" w14:textId="1760E38E" w:rsidR="00C30EEB" w:rsidRDefault="00C30EEB" w:rsidP="004E321E">
            <w:r w:rsidRPr="00817694">
              <w:rPr>
                <w:b/>
                <w:bCs/>
              </w:rPr>
              <w:t>2</w:t>
            </w:r>
            <w:r>
              <w:t>) the payer provides MyHealth with a regularly-updated roster of its members, with demographics that enable MyHealth’s master patient index to associate its own records with a payer’s member roster. Only data associated with these patients may be sent.</w:t>
            </w:r>
          </w:p>
          <w:p w14:paraId="4388E802" w14:textId="79461954" w:rsidR="008D26C0" w:rsidRDefault="008D26C0" w:rsidP="004E321E">
            <w:r w:rsidRPr="008D26C0">
              <w:rPr>
                <w:b/>
                <w:bCs/>
              </w:rPr>
              <w:t>3</w:t>
            </w:r>
            <w:r w:rsidRPr="008D26C0">
              <w:t>)</w:t>
            </w:r>
            <w:r>
              <w:t xml:space="preserve"> the payer wishes to receive one of the following approved data delivery reports:</w:t>
            </w:r>
          </w:p>
          <w:p w14:paraId="763967F8" w14:textId="77777777" w:rsidR="008D26C0" w:rsidRDefault="008D26C0" w:rsidP="004E321E">
            <w:pPr>
              <w:ind w:left="432" w:hanging="432"/>
            </w:pPr>
            <w:r>
              <w:t xml:space="preserve">  a) ADT messages.</w:t>
            </w:r>
          </w:p>
          <w:p w14:paraId="13568DBB" w14:textId="77777777" w:rsidR="008D26C0" w:rsidRDefault="008D26C0" w:rsidP="004E321E">
            <w:pPr>
              <w:ind w:left="432" w:hanging="432"/>
            </w:pPr>
            <w:r>
              <w:lastRenderedPageBreak/>
              <w:t xml:space="preserve">  b) Laboratory results.</w:t>
            </w:r>
          </w:p>
          <w:p w14:paraId="7A88037D" w14:textId="77777777" w:rsidR="008D26C0" w:rsidRDefault="008D26C0" w:rsidP="004E321E">
            <w:pPr>
              <w:ind w:left="432" w:hanging="432"/>
            </w:pPr>
            <w:r>
              <w:t xml:space="preserve">  c) Care Fragmentation Alert reports (report of patient activity in MyHealth’s network).</w:t>
            </w:r>
          </w:p>
          <w:p w14:paraId="7B0680D2" w14:textId="4B27FF4D" w:rsidR="008D26C0" w:rsidRPr="009B635C" w:rsidRDefault="008D26C0" w:rsidP="004E321E">
            <w:pPr>
              <w:ind w:left="432" w:hanging="432"/>
            </w:pPr>
            <w:r>
              <w:t xml:space="preserve">  d) quality report, with data elements specified by the payer to MyHealth (in writing) as essential for the calculation of one or more named quality measures as part of quality measurement programs, including but not limited to the following: HEDIS, CMS Star Ratings, Core Quality measures, Risk Adjustment Data </w:t>
            </w:r>
            <w:r w:rsidRPr="009B635C">
              <w:t xml:space="preserve">Validation. </w:t>
            </w:r>
          </w:p>
          <w:p w14:paraId="79ADE369" w14:textId="5A92802F" w:rsidR="00C30EEB" w:rsidRDefault="008D26C0" w:rsidP="004E321E">
            <w:r w:rsidRPr="009B635C">
              <w:t>4</w:t>
            </w:r>
            <w:r w:rsidR="00C30EEB" w:rsidRPr="009B635C">
              <w:t xml:space="preserve">) a patient who is the subject of desired PHI has not </w:t>
            </w:r>
            <w:r w:rsidR="00C30EEB">
              <w:t>opted out of MyHealth.</w:t>
            </w:r>
          </w:p>
          <w:p w14:paraId="72FE1263" w14:textId="2A643692" w:rsidR="00C30EEB" w:rsidRDefault="008D26C0" w:rsidP="004E321E">
            <w:r>
              <w:rPr>
                <w:b/>
                <w:bCs/>
              </w:rPr>
              <w:t>5</w:t>
            </w:r>
            <w:r w:rsidR="00C30EEB">
              <w:t xml:space="preserve">) the PHI that is the subject of the payer’s request has not been received by MyHealth with a “self-pay” indicator from the source, or has passed the approved filter criteria designed to prevent records from being sent to a health plan where a patient has requested they be restricted (45 CFR §164.522(a)(1)(vi))—for filter details </w:t>
            </w:r>
            <w:r w:rsidR="00E17D1B">
              <w:t xml:space="preserve">follow this link (you will be prompted for your name and email, then will be able to download the document): </w:t>
            </w:r>
            <w:hyperlink r:id="rId14" w:history="1">
              <w:r w:rsidR="00E17D1B" w:rsidRPr="00E17D1B">
                <w:rPr>
                  <w:rStyle w:val="Hyperlink"/>
                </w:rPr>
                <w:t>specification document</w:t>
              </w:r>
            </w:hyperlink>
            <w:r w:rsidR="00C30EEB">
              <w:t xml:space="preserve">.  </w:t>
            </w:r>
          </w:p>
        </w:tc>
        <w:tc>
          <w:tcPr>
            <w:tcW w:w="4043" w:type="dxa"/>
          </w:tcPr>
          <w:p w14:paraId="708FC1DA" w14:textId="77777777" w:rsidR="00C30EEB" w:rsidRDefault="00C30EEB" w:rsidP="004E321E">
            <w:r>
              <w:lastRenderedPageBreak/>
              <w:t>Row-level data? Yes</w:t>
            </w:r>
          </w:p>
          <w:p w14:paraId="560CCAF2" w14:textId="77777777" w:rsidR="00C30EEB" w:rsidRDefault="00C30EEB" w:rsidP="004E321E">
            <w:r>
              <w:t>Identifiable data? Yes</w:t>
            </w:r>
          </w:p>
          <w:p w14:paraId="43D27E68" w14:textId="77777777" w:rsidR="00C30EEB" w:rsidRDefault="00C30EEB" w:rsidP="004E321E">
            <w:r>
              <w:t>Shared publicly? No</w:t>
            </w:r>
          </w:p>
          <w:p w14:paraId="556FDB46" w14:textId="77777777" w:rsidR="000976DB" w:rsidRDefault="00C30EEB" w:rsidP="004E321E">
            <w:r>
              <w:t xml:space="preserve">Data time period?  </w:t>
            </w:r>
            <w:r w:rsidR="000976DB">
              <w:t xml:space="preserve">Continuous? Yes.  </w:t>
            </w:r>
          </w:p>
          <w:p w14:paraId="075FCE5E" w14:textId="77777777" w:rsidR="000976DB" w:rsidRDefault="000976DB" w:rsidP="004E321E">
            <w:r>
              <w:t xml:space="preserve">When Updated: In real-time in the case of messages and alerts. Daily in the case of daily reports. Periodically in the case of data quality reports. </w:t>
            </w:r>
          </w:p>
          <w:p w14:paraId="2518ADE5" w14:textId="77777777" w:rsidR="000976DB" w:rsidRDefault="000976DB" w:rsidP="004E321E"/>
          <w:p w14:paraId="7D48231C" w14:textId="269CBBAB" w:rsidR="00C30EEB" w:rsidRDefault="000976DB" w:rsidP="004E321E">
            <w:r>
              <w:t xml:space="preserve">Data is filtered to limit to minimum necessary, to remove self-pay and opted out data sources, and to comply with requirements of each </w:t>
            </w:r>
            <w:r w:rsidR="00C30EEB">
              <w:t>quality measure.</w:t>
            </w:r>
          </w:p>
          <w:p w14:paraId="18146258" w14:textId="77777777" w:rsidR="00C30EEB" w:rsidRPr="00B45700" w:rsidRDefault="00C30EEB" w:rsidP="000976DB"/>
        </w:tc>
        <w:tc>
          <w:tcPr>
            <w:tcW w:w="1530" w:type="dxa"/>
          </w:tcPr>
          <w:p w14:paraId="610D7F8A" w14:textId="01FCB689" w:rsidR="00C30EEB" w:rsidRDefault="00835B8A" w:rsidP="004E321E">
            <w:r>
              <w:t xml:space="preserve">All clinical </w:t>
            </w:r>
            <w:r w:rsidR="00B0699C">
              <w:t>D</w:t>
            </w:r>
            <w:r>
              <w:t xml:space="preserve">ata </w:t>
            </w:r>
            <w:r w:rsidR="00B0699C">
              <w:t>Suppliers</w:t>
            </w:r>
            <w:r>
              <w:t xml:space="preserve"> (except any who request exclusion)</w:t>
            </w:r>
          </w:p>
        </w:tc>
        <w:tc>
          <w:tcPr>
            <w:tcW w:w="1909" w:type="dxa"/>
          </w:tcPr>
          <w:p w14:paraId="5DE2CC77" w14:textId="29E8FD7F" w:rsidR="00C30EEB" w:rsidRDefault="00C30EEB" w:rsidP="004E321E">
            <w:r>
              <w:t>Health plans who have satisfied the required criteria.</w:t>
            </w:r>
          </w:p>
        </w:tc>
        <w:tc>
          <w:tcPr>
            <w:tcW w:w="2141" w:type="dxa"/>
          </w:tcPr>
          <w:p w14:paraId="6A51AC41" w14:textId="77777777" w:rsidR="00C30EEB" w:rsidRDefault="00C30EEB" w:rsidP="004E321E">
            <w:r>
              <w:t>Board approved: 12/8/2020.</w:t>
            </w:r>
          </w:p>
          <w:p w14:paraId="5A4A1F84" w14:textId="77777777" w:rsidR="00C30EEB" w:rsidRDefault="00C30EEB" w:rsidP="004E321E"/>
          <w:p w14:paraId="60CACA52" w14:textId="0EB308B3" w:rsidR="00C30EEB" w:rsidRDefault="00745FE3" w:rsidP="004E321E">
            <w:r>
              <w:t>Active</w:t>
            </w:r>
            <w:r w:rsidR="005E41AF">
              <w:t>.</w:t>
            </w:r>
          </w:p>
        </w:tc>
      </w:tr>
      <w:tr w:rsidR="00E5461F" w:rsidRPr="00C57405" w14:paraId="77AB2387" w14:textId="77777777" w:rsidTr="00E5461F">
        <w:trPr>
          <w:tblHeader/>
        </w:trPr>
        <w:tc>
          <w:tcPr>
            <w:tcW w:w="1535" w:type="dxa"/>
          </w:tcPr>
          <w:p w14:paraId="57570F5C" w14:textId="337C8F0A" w:rsidR="00CC1C9B" w:rsidRDefault="00595C6F" w:rsidP="00815ACD">
            <w:pPr>
              <w:rPr>
                <w:rStyle w:val="Hyperlink"/>
                <w:b/>
              </w:rPr>
            </w:pPr>
            <w:hyperlink r:id="rId15" w:history="1">
              <w:r w:rsidR="00CC1C9B" w:rsidRPr="00CC1C9B">
                <w:rPr>
                  <w:rStyle w:val="Hyperlink"/>
                  <w:b/>
                </w:rPr>
                <w:t>OU-SEED (1043)</w:t>
              </w:r>
            </w:hyperlink>
          </w:p>
        </w:tc>
        <w:tc>
          <w:tcPr>
            <w:tcW w:w="5757" w:type="dxa"/>
          </w:tcPr>
          <w:p w14:paraId="41F50F5E" w14:textId="63BAAB14" w:rsidR="00CC1C9B" w:rsidRDefault="00CC1C9B" w:rsidP="00621FE6">
            <w:r>
              <w:t>OU Researchers can, with a patient-signed consent form (which form was approved by MyHealth’s Privacy &amp; Security Committee),</w:t>
            </w:r>
            <w:r w:rsidR="004C5007">
              <w:t xml:space="preserve"> </w:t>
            </w:r>
            <w:r w:rsidR="008A7CF1">
              <w:t>view medical records and extract information relevant to their study</w:t>
            </w:r>
            <w:r>
              <w:t xml:space="preserve">.  The research project is entitled School Experiences and Early Development (SEED), and is a multi-year research study </w:t>
            </w:r>
            <w:r w:rsidR="00621FE6">
              <w:t xml:space="preserve">focused on the effects of early childhood education on health and development. </w:t>
            </w:r>
          </w:p>
        </w:tc>
        <w:tc>
          <w:tcPr>
            <w:tcW w:w="4043" w:type="dxa"/>
          </w:tcPr>
          <w:p w14:paraId="6A312226" w14:textId="77777777" w:rsidR="00621FE6" w:rsidRPr="00B45700" w:rsidRDefault="00621FE6" w:rsidP="00621FE6">
            <w:r w:rsidRPr="00B45700">
              <w:t xml:space="preserve">Row-level data? </w:t>
            </w:r>
            <w:r>
              <w:t>Yes</w:t>
            </w:r>
          </w:p>
          <w:p w14:paraId="79F7F60D" w14:textId="77777777" w:rsidR="00621FE6" w:rsidRPr="00B45700" w:rsidRDefault="00621FE6" w:rsidP="00621FE6">
            <w:r w:rsidRPr="00B45700">
              <w:t xml:space="preserve">Identifiable data? </w:t>
            </w:r>
            <w:r>
              <w:t>Yes</w:t>
            </w:r>
          </w:p>
          <w:p w14:paraId="38A7404B" w14:textId="77777777" w:rsidR="00621FE6" w:rsidRPr="00B45700" w:rsidRDefault="00621FE6" w:rsidP="00621FE6">
            <w:r w:rsidRPr="00B45700">
              <w:t xml:space="preserve">To be shared publicly? </w:t>
            </w:r>
            <w:r>
              <w:t>No</w:t>
            </w:r>
          </w:p>
          <w:p w14:paraId="035A428F" w14:textId="77777777" w:rsidR="00621FE6" w:rsidRPr="00B45700" w:rsidRDefault="00621FE6" w:rsidP="00621FE6">
            <w:r w:rsidRPr="00B45700">
              <w:t xml:space="preserve">Data time period?  </w:t>
            </w:r>
            <w:r>
              <w:t>Current</w:t>
            </w:r>
          </w:p>
          <w:p w14:paraId="715B65E8" w14:textId="38B81C1A" w:rsidR="00CC1C9B" w:rsidRPr="00B45700" w:rsidRDefault="00621FE6" w:rsidP="00621FE6">
            <w:r w:rsidRPr="00B45700">
              <w:t xml:space="preserve">Updated: </w:t>
            </w:r>
            <w:r>
              <w:t>on demand</w:t>
            </w:r>
          </w:p>
        </w:tc>
        <w:tc>
          <w:tcPr>
            <w:tcW w:w="1530" w:type="dxa"/>
          </w:tcPr>
          <w:p w14:paraId="5A617089" w14:textId="78B301E1" w:rsidR="00CC1C9B" w:rsidRDefault="00835B8A" w:rsidP="00C57405">
            <w:r>
              <w:t xml:space="preserve">All clinical </w:t>
            </w:r>
            <w:r w:rsidR="00E5461F">
              <w:t>D</w:t>
            </w:r>
            <w:r>
              <w:t xml:space="preserve">ata </w:t>
            </w:r>
            <w:r w:rsidR="00E5461F">
              <w:t>Suppliers</w:t>
            </w:r>
            <w:r>
              <w:t xml:space="preserve"> (except any who request exclusion</w:t>
            </w:r>
            <w:r w:rsidR="00E5461F">
              <w:t xml:space="preserve"> or prohibit research uses</w:t>
            </w:r>
            <w:r>
              <w:t>)</w:t>
            </w:r>
          </w:p>
        </w:tc>
        <w:tc>
          <w:tcPr>
            <w:tcW w:w="1909" w:type="dxa"/>
          </w:tcPr>
          <w:p w14:paraId="67273054" w14:textId="40783C36" w:rsidR="00CC1C9B" w:rsidRDefault="00621FE6" w:rsidP="00621FE6">
            <w:r>
              <w:t>Authorized research partners based on patient authorization.</w:t>
            </w:r>
          </w:p>
        </w:tc>
        <w:tc>
          <w:tcPr>
            <w:tcW w:w="2141" w:type="dxa"/>
          </w:tcPr>
          <w:p w14:paraId="2C20D23D" w14:textId="77777777" w:rsidR="00621FE6" w:rsidRDefault="00621FE6" w:rsidP="00160D6E">
            <w:r>
              <w:t>Board approved:</w:t>
            </w:r>
          </w:p>
          <w:p w14:paraId="2409DE8F" w14:textId="77777777" w:rsidR="00621FE6" w:rsidRDefault="00621FE6" w:rsidP="00160D6E">
            <w:r>
              <w:t>12/10/2019.</w:t>
            </w:r>
          </w:p>
          <w:p w14:paraId="41EB45C8" w14:textId="77777777" w:rsidR="00621FE6" w:rsidRDefault="00621FE6" w:rsidP="00160D6E"/>
          <w:p w14:paraId="6575EA51" w14:textId="00CD1174" w:rsidR="00CC1C9B" w:rsidRDefault="00745FE3" w:rsidP="00621FE6">
            <w:r>
              <w:t>Active</w:t>
            </w:r>
            <w:r w:rsidR="003F20B3">
              <w:t xml:space="preserve"> (</w:t>
            </w:r>
            <w:r w:rsidR="00DC4035">
              <w:t>occasional</w:t>
            </w:r>
            <w:r w:rsidR="003F20B3">
              <w:t>)</w:t>
            </w:r>
            <w:r w:rsidR="005E41AF">
              <w:t>.</w:t>
            </w:r>
          </w:p>
        </w:tc>
      </w:tr>
      <w:tr w:rsidR="00E5461F" w:rsidRPr="00C57405" w14:paraId="2A353BD9" w14:textId="77777777" w:rsidTr="00E5461F">
        <w:trPr>
          <w:tblHeader/>
        </w:trPr>
        <w:tc>
          <w:tcPr>
            <w:tcW w:w="1535" w:type="dxa"/>
          </w:tcPr>
          <w:p w14:paraId="63286490" w14:textId="61BE8925" w:rsidR="00C57405" w:rsidRPr="00160D6E" w:rsidRDefault="00595C6F" w:rsidP="00815ACD">
            <w:pPr>
              <w:rPr>
                <w:rStyle w:val="Hyperlink"/>
                <w:b/>
              </w:rPr>
            </w:pPr>
            <w:hyperlink r:id="rId16" w:history="1">
              <w:r w:rsidR="00BB355B">
                <w:rPr>
                  <w:rStyle w:val="Hyperlink"/>
                  <w:b/>
                </w:rPr>
                <w:t>Data Delivery for PCP-Attributed Patients (1037, 1038, 1039, 1040, 1041, 1042)</w:t>
              </w:r>
            </w:hyperlink>
          </w:p>
        </w:tc>
        <w:tc>
          <w:tcPr>
            <w:tcW w:w="5757" w:type="dxa"/>
          </w:tcPr>
          <w:p w14:paraId="1FA6E0CD" w14:textId="497867DF" w:rsidR="00C57405" w:rsidRPr="00C57405" w:rsidRDefault="00835B8A" w:rsidP="00160D6E">
            <w:pPr>
              <w:rPr>
                <w:rStyle w:val="Hyperlink"/>
              </w:rPr>
            </w:pPr>
            <w:r>
              <w:t>MyHealth products: Care Fragmentation Alerts, Real-time ADT Alerts, and other a</w:t>
            </w:r>
            <w:r w:rsidR="00160D6E">
              <w:t xml:space="preserve">utomated delivery of reports from MyHealth to an attributed provider of potentially all medical record information pertaining to patients </w:t>
            </w:r>
            <w:r>
              <w:t xml:space="preserve">who are </w:t>
            </w:r>
            <w:r w:rsidR="00160D6E">
              <w:t xml:space="preserve">attributed to a provider. </w:t>
            </w:r>
            <w:r w:rsidR="004F1629">
              <w:t xml:space="preserve"> This authorization</w:t>
            </w:r>
            <w:r w:rsidR="009B635C">
              <w:t xml:space="preserve"> </w:t>
            </w:r>
            <w:r>
              <w:t>also allows</w:t>
            </w:r>
            <w:r w:rsidR="004F1629">
              <w:t xml:space="preserve"> </w:t>
            </w:r>
            <w:r>
              <w:t xml:space="preserve">delivery of notifications for admission, discharge and transfers for </w:t>
            </w:r>
            <w:r w:rsidR="000976DB">
              <w:t>some hospitals</w:t>
            </w:r>
            <w:r w:rsidR="009B635C">
              <w:t xml:space="preserve"> in compliance with the Medicaid/Medicare Conditions of Participation requirement.</w:t>
            </w:r>
          </w:p>
        </w:tc>
        <w:tc>
          <w:tcPr>
            <w:tcW w:w="4043" w:type="dxa"/>
          </w:tcPr>
          <w:p w14:paraId="5D285220" w14:textId="77777777" w:rsidR="00160D6E" w:rsidRPr="00B45700" w:rsidRDefault="00160D6E" w:rsidP="00160D6E">
            <w:r w:rsidRPr="00B45700">
              <w:t xml:space="preserve">Row-level data? </w:t>
            </w:r>
            <w:r>
              <w:t>Yes</w:t>
            </w:r>
          </w:p>
          <w:p w14:paraId="6EE3874A" w14:textId="77777777" w:rsidR="00160D6E" w:rsidRPr="00B45700" w:rsidRDefault="00160D6E" w:rsidP="00160D6E">
            <w:r w:rsidRPr="00B45700">
              <w:t xml:space="preserve">Identifiable data? </w:t>
            </w:r>
            <w:r>
              <w:t>Yes</w:t>
            </w:r>
          </w:p>
          <w:p w14:paraId="29CA10C7" w14:textId="77777777" w:rsidR="00160D6E" w:rsidRPr="00B45700" w:rsidRDefault="00160D6E" w:rsidP="00160D6E">
            <w:r w:rsidRPr="00B45700">
              <w:t xml:space="preserve">To be shared publicly? </w:t>
            </w:r>
            <w:r>
              <w:t>No</w:t>
            </w:r>
          </w:p>
          <w:p w14:paraId="47F2758A" w14:textId="77777777" w:rsidR="00160D6E" w:rsidRPr="00B45700" w:rsidRDefault="00160D6E" w:rsidP="00160D6E">
            <w:r w:rsidRPr="00B45700">
              <w:t xml:space="preserve">Data time period?  </w:t>
            </w:r>
            <w:r>
              <w:t>Current</w:t>
            </w:r>
          </w:p>
          <w:p w14:paraId="600ACEF2" w14:textId="54EFFA05" w:rsidR="00C57405" w:rsidRPr="00C57405" w:rsidRDefault="00160D6E" w:rsidP="00160D6E">
            <w:pPr>
              <w:rPr>
                <w:rStyle w:val="Hyperlink"/>
              </w:rPr>
            </w:pPr>
            <w:r w:rsidRPr="00B45700">
              <w:t>Updated</w:t>
            </w:r>
            <w:r w:rsidR="000976DB">
              <w:t>: in real time</w:t>
            </w:r>
          </w:p>
        </w:tc>
        <w:tc>
          <w:tcPr>
            <w:tcW w:w="1530" w:type="dxa"/>
          </w:tcPr>
          <w:p w14:paraId="19B1F5C7" w14:textId="25C4CF59" w:rsidR="00C57405" w:rsidRPr="00C57405" w:rsidRDefault="00835B8A" w:rsidP="00C57405">
            <w:pPr>
              <w:rPr>
                <w:rStyle w:val="Hyperlink"/>
              </w:rPr>
            </w:pPr>
            <w:r>
              <w:t xml:space="preserve">All clinical </w:t>
            </w:r>
            <w:r w:rsidR="00E5461F">
              <w:t>D</w:t>
            </w:r>
            <w:r>
              <w:t xml:space="preserve">ata </w:t>
            </w:r>
            <w:r w:rsidR="00E5461F">
              <w:t>Suppliers</w:t>
            </w:r>
            <w:r>
              <w:t xml:space="preserve"> (except any who request exclusion)</w:t>
            </w:r>
          </w:p>
        </w:tc>
        <w:tc>
          <w:tcPr>
            <w:tcW w:w="1909" w:type="dxa"/>
          </w:tcPr>
          <w:p w14:paraId="5B2EA14B" w14:textId="4D889993" w:rsidR="00C57405" w:rsidRPr="00C57405" w:rsidRDefault="00160D6E" w:rsidP="00160D6E">
            <w:pPr>
              <w:rPr>
                <w:rStyle w:val="Hyperlink"/>
              </w:rPr>
            </w:pPr>
            <w:r>
              <w:t xml:space="preserve"> Authorized users of the organization that is attributed as the patient’s primary care provider using the approved </w:t>
            </w:r>
            <w:r>
              <w:lastRenderedPageBreak/>
              <w:t xml:space="preserve">MyHealth PCP attribution model. </w:t>
            </w:r>
          </w:p>
        </w:tc>
        <w:tc>
          <w:tcPr>
            <w:tcW w:w="2141" w:type="dxa"/>
          </w:tcPr>
          <w:p w14:paraId="1B968C7A" w14:textId="77777777" w:rsidR="00160D6E" w:rsidRDefault="00160D6E" w:rsidP="00160D6E">
            <w:r>
              <w:lastRenderedPageBreak/>
              <w:t>Board approved: 12/11/2018.</w:t>
            </w:r>
          </w:p>
          <w:p w14:paraId="773EED17" w14:textId="77777777" w:rsidR="00C57405" w:rsidRDefault="00C57405" w:rsidP="00C57405">
            <w:pPr>
              <w:rPr>
                <w:rStyle w:val="Hyperlink"/>
              </w:rPr>
            </w:pPr>
          </w:p>
          <w:p w14:paraId="26EE9775" w14:textId="7EF64EBF" w:rsidR="00160D6E" w:rsidRPr="00C57405" w:rsidRDefault="00DC4035" w:rsidP="00160D6E">
            <w:pPr>
              <w:rPr>
                <w:rStyle w:val="Hyperlink"/>
              </w:rPr>
            </w:pPr>
            <w:r>
              <w:t>Active</w:t>
            </w:r>
            <w:r w:rsidR="005E41AF">
              <w:t>.</w:t>
            </w:r>
          </w:p>
        </w:tc>
      </w:tr>
      <w:tr w:rsidR="00E5461F" w:rsidRPr="00C57405" w14:paraId="74901144" w14:textId="77777777" w:rsidTr="00E5461F">
        <w:trPr>
          <w:tblHeader/>
        </w:trPr>
        <w:tc>
          <w:tcPr>
            <w:tcW w:w="1535" w:type="dxa"/>
          </w:tcPr>
          <w:p w14:paraId="446ED8E6" w14:textId="31C5765E" w:rsidR="00C57405" w:rsidRPr="00160D6E" w:rsidRDefault="00595C6F" w:rsidP="00C57405">
            <w:pPr>
              <w:rPr>
                <w:rStyle w:val="Hyperlink"/>
                <w:b/>
              </w:rPr>
            </w:pPr>
            <w:hyperlink r:id="rId17" w:history="1">
              <w:r w:rsidR="00C57405" w:rsidRPr="00160D6E">
                <w:rPr>
                  <w:rStyle w:val="Hyperlink"/>
                  <w:b/>
                </w:rPr>
                <w:t>CAP Tulsa Consent-Based Access</w:t>
              </w:r>
              <w:r w:rsidR="00160D6E" w:rsidRPr="00160D6E">
                <w:rPr>
                  <w:rStyle w:val="Hyperlink"/>
                  <w:b/>
                </w:rPr>
                <w:t xml:space="preserve"> (1036)</w:t>
              </w:r>
            </w:hyperlink>
          </w:p>
        </w:tc>
        <w:tc>
          <w:tcPr>
            <w:tcW w:w="5757" w:type="dxa"/>
          </w:tcPr>
          <w:p w14:paraId="6B83C1E6" w14:textId="579A0905" w:rsidR="00C57405" w:rsidRPr="00C57405" w:rsidRDefault="000976DB" w:rsidP="00C57405">
            <w:pPr>
              <w:rPr>
                <w:rStyle w:val="Hyperlink"/>
              </w:rPr>
            </w:pPr>
            <w:r>
              <w:t>Community Action Project of Tulsa County, Inc. (“</w:t>
            </w:r>
            <w:r w:rsidR="00C57405">
              <w:t>CAP Tulsa</w:t>
            </w:r>
            <w:r>
              <w:t>”)</w:t>
            </w:r>
            <w:r w:rsidR="00C57405">
              <w:t xml:space="preserve"> early childhood program participants sign HIPAA authorizations for release of medical records from medical facilities to health associates at CAP Tulsa who review well-child visits and help coordinate medical care for enrollees. Sources may request audit log from MyHealth at any time to receive a list of lookups by CAP, and then may request copies of the consent forms for those lookups directly from AP (918-382-3274).</w:t>
            </w:r>
          </w:p>
        </w:tc>
        <w:tc>
          <w:tcPr>
            <w:tcW w:w="4043" w:type="dxa"/>
          </w:tcPr>
          <w:p w14:paraId="31403CCB" w14:textId="77777777" w:rsidR="00C57405" w:rsidRPr="00B45700" w:rsidRDefault="00C57405" w:rsidP="00C57405">
            <w:r w:rsidRPr="00B45700">
              <w:t xml:space="preserve">Row-level data? </w:t>
            </w:r>
            <w:r>
              <w:t>Yes</w:t>
            </w:r>
          </w:p>
          <w:p w14:paraId="0868F68A" w14:textId="77777777" w:rsidR="00C57405" w:rsidRPr="00B45700" w:rsidRDefault="00C57405" w:rsidP="00C57405">
            <w:r w:rsidRPr="00B45700">
              <w:t xml:space="preserve">Identifiable data? </w:t>
            </w:r>
            <w:r>
              <w:t>Yes</w:t>
            </w:r>
          </w:p>
          <w:p w14:paraId="3DC6C7DA" w14:textId="77777777" w:rsidR="00C57405" w:rsidRPr="00B45700" w:rsidRDefault="00C57405" w:rsidP="00C57405">
            <w:r w:rsidRPr="00B45700">
              <w:t xml:space="preserve">To be shared publicly? </w:t>
            </w:r>
            <w:r>
              <w:t>No</w:t>
            </w:r>
          </w:p>
          <w:p w14:paraId="0DEDC71F" w14:textId="77777777" w:rsidR="00C57405" w:rsidRPr="00B45700" w:rsidRDefault="00C57405" w:rsidP="00C57405">
            <w:r w:rsidRPr="00B45700">
              <w:t xml:space="preserve">Data time period?  </w:t>
            </w:r>
            <w:r>
              <w:t>Current</w:t>
            </w:r>
          </w:p>
          <w:p w14:paraId="38B2864C" w14:textId="6F269F91" w:rsidR="00C57405" w:rsidRPr="00C57405" w:rsidRDefault="00C57405" w:rsidP="00C57405">
            <w:pPr>
              <w:rPr>
                <w:rStyle w:val="Hyperlink"/>
              </w:rPr>
            </w:pPr>
            <w:r w:rsidRPr="00B45700">
              <w:t xml:space="preserve">Updated: </w:t>
            </w:r>
            <w:r>
              <w:t>on demand</w:t>
            </w:r>
          </w:p>
        </w:tc>
        <w:tc>
          <w:tcPr>
            <w:tcW w:w="1530" w:type="dxa"/>
          </w:tcPr>
          <w:p w14:paraId="33D6E142" w14:textId="28B45178" w:rsidR="00C57405" w:rsidRPr="00C57405" w:rsidRDefault="00E5461F" w:rsidP="00C57405">
            <w:pPr>
              <w:rPr>
                <w:rStyle w:val="Hyperlink"/>
              </w:rPr>
            </w:pPr>
            <w:r>
              <w:t>All clinical Data Suppliers (except any who request exclusion)</w:t>
            </w:r>
          </w:p>
        </w:tc>
        <w:tc>
          <w:tcPr>
            <w:tcW w:w="1909" w:type="dxa"/>
          </w:tcPr>
          <w:p w14:paraId="558C7E09" w14:textId="43D737AE" w:rsidR="00C57405" w:rsidRPr="00C57405" w:rsidRDefault="00C57405" w:rsidP="00C57405">
            <w:pPr>
              <w:rPr>
                <w:rStyle w:val="Hyperlink"/>
              </w:rPr>
            </w:pPr>
            <w:r>
              <w:t>CAP Tulsa health associates</w:t>
            </w:r>
          </w:p>
        </w:tc>
        <w:tc>
          <w:tcPr>
            <w:tcW w:w="2141" w:type="dxa"/>
          </w:tcPr>
          <w:p w14:paraId="02110636" w14:textId="77777777" w:rsidR="00C57405" w:rsidRDefault="00C57405" w:rsidP="00C57405">
            <w:r>
              <w:t>Board approved: 12/11/2018.</w:t>
            </w:r>
          </w:p>
          <w:p w14:paraId="3138AEA8" w14:textId="6BA9E578" w:rsidR="00C57405" w:rsidRDefault="00C57405" w:rsidP="00C57405"/>
          <w:p w14:paraId="716C57DE" w14:textId="6790D0C1" w:rsidR="00621FE6" w:rsidRDefault="00DC4035" w:rsidP="00C57405">
            <w:r>
              <w:t>Active (typically once per school year)</w:t>
            </w:r>
            <w:r w:rsidR="00621FE6">
              <w:t>.</w:t>
            </w:r>
          </w:p>
          <w:p w14:paraId="02F200C9" w14:textId="77777777" w:rsidR="00621FE6" w:rsidRDefault="00621FE6" w:rsidP="00C57405"/>
          <w:p w14:paraId="09CC100A" w14:textId="2612675B" w:rsidR="00C57405" w:rsidRPr="00C57405" w:rsidRDefault="00C57405" w:rsidP="00675DC8">
            <w:pPr>
              <w:rPr>
                <w:rStyle w:val="Hyperlink"/>
              </w:rPr>
            </w:pPr>
          </w:p>
        </w:tc>
      </w:tr>
      <w:tr w:rsidR="00E5461F" w14:paraId="55A7CBDC" w14:textId="77777777" w:rsidTr="00E5461F">
        <w:trPr>
          <w:tblHeader/>
        </w:trPr>
        <w:tc>
          <w:tcPr>
            <w:tcW w:w="1535" w:type="dxa"/>
          </w:tcPr>
          <w:p w14:paraId="55D8725F" w14:textId="77777777" w:rsidR="00C57405" w:rsidRPr="00EA746D" w:rsidRDefault="00595C6F" w:rsidP="00C57405">
            <w:pPr>
              <w:rPr>
                <w:b/>
              </w:rPr>
            </w:pPr>
            <w:hyperlink r:id="rId18" w:history="1">
              <w:r w:rsidR="00C57405" w:rsidRPr="00E7380B">
                <w:rPr>
                  <w:rStyle w:val="Hyperlink"/>
                  <w:b/>
                </w:rPr>
                <w:t>Accountable Health Communities – Social Determinants Referrals (1035)</w:t>
              </w:r>
            </w:hyperlink>
          </w:p>
        </w:tc>
        <w:tc>
          <w:tcPr>
            <w:tcW w:w="5757" w:type="dxa"/>
          </w:tcPr>
          <w:p w14:paraId="6BA89075" w14:textId="1D14438B" w:rsidR="00C57405" w:rsidRPr="001B1073" w:rsidRDefault="00E5461F" w:rsidP="00C57405">
            <w:r>
              <w:t>Social Determinants of Health Screening.  Originally approved fo</w:t>
            </w:r>
            <w:r w:rsidR="00C57405">
              <w:t xml:space="preserve">r </w:t>
            </w:r>
            <w:r>
              <w:t xml:space="preserve">the </w:t>
            </w:r>
            <w:r w:rsidR="00C57405">
              <w:t xml:space="preserve">Accountable Health Communities (AHC) grant, </w:t>
            </w:r>
            <w:r w:rsidR="004A79DE">
              <w:t>social determinants of health</w:t>
            </w:r>
            <w:r w:rsidR="00C57405">
              <w:t xml:space="preserve"> screening results </w:t>
            </w:r>
            <w:r w:rsidR="004A79DE">
              <w:t>will come to MyHealth</w:t>
            </w:r>
            <w:r w:rsidR="00C57405">
              <w:t>. This request</w:t>
            </w:r>
            <w:r>
              <w:t xml:space="preserve"> describes the program. Data sources who control what happens with the data from the program.</w:t>
            </w:r>
          </w:p>
        </w:tc>
        <w:tc>
          <w:tcPr>
            <w:tcW w:w="4043" w:type="dxa"/>
          </w:tcPr>
          <w:p w14:paraId="3CBAD290" w14:textId="77777777" w:rsidR="00C57405" w:rsidRPr="00B45700" w:rsidRDefault="00C57405" w:rsidP="00C57405">
            <w:r w:rsidRPr="00B45700">
              <w:t xml:space="preserve">Row-level data? </w:t>
            </w:r>
            <w:r>
              <w:t>Yes</w:t>
            </w:r>
          </w:p>
          <w:p w14:paraId="662CB41A" w14:textId="77777777" w:rsidR="00C57405" w:rsidRPr="00B45700" w:rsidRDefault="00C57405" w:rsidP="00C57405">
            <w:r w:rsidRPr="00B45700">
              <w:t xml:space="preserve">Identifiable data? </w:t>
            </w:r>
            <w:r>
              <w:t>Yes</w:t>
            </w:r>
          </w:p>
          <w:p w14:paraId="5C0648D2" w14:textId="77777777" w:rsidR="00C57405" w:rsidRPr="00B45700" w:rsidRDefault="00C57405" w:rsidP="00C57405">
            <w:r w:rsidRPr="00B45700">
              <w:t xml:space="preserve">To be shared publicly? </w:t>
            </w:r>
            <w:r>
              <w:t>No</w:t>
            </w:r>
          </w:p>
          <w:p w14:paraId="78249865" w14:textId="77777777" w:rsidR="00C57405" w:rsidRPr="00B45700" w:rsidRDefault="00C57405" w:rsidP="00C57405">
            <w:r w:rsidRPr="00B45700">
              <w:t xml:space="preserve">Data time period?  </w:t>
            </w:r>
            <w:r>
              <w:t>Current</w:t>
            </w:r>
          </w:p>
          <w:p w14:paraId="2EF7616A" w14:textId="77777777" w:rsidR="00C57405" w:rsidRPr="001B1073" w:rsidRDefault="00C57405" w:rsidP="00C57405">
            <w:r w:rsidRPr="00B45700">
              <w:t xml:space="preserve">Updated: </w:t>
            </w:r>
            <w:r>
              <w:t>Daily</w:t>
            </w:r>
          </w:p>
        </w:tc>
        <w:tc>
          <w:tcPr>
            <w:tcW w:w="1530" w:type="dxa"/>
          </w:tcPr>
          <w:p w14:paraId="6360E9C3" w14:textId="1B57CE80" w:rsidR="00C57405" w:rsidRPr="00EA746D" w:rsidRDefault="00E5461F" w:rsidP="00C57405">
            <w:pPr>
              <w:rPr>
                <w:b/>
              </w:rPr>
            </w:pPr>
            <w:r>
              <w:t>D</w:t>
            </w:r>
            <w:r w:rsidR="00C57405">
              <w:t xml:space="preserve">ata </w:t>
            </w:r>
            <w:r>
              <w:t>Suppliers</w:t>
            </w:r>
            <w:r w:rsidR="00C57405">
              <w:t xml:space="preserve"> who </w:t>
            </w:r>
            <w:r>
              <w:t xml:space="preserve">choose to </w:t>
            </w:r>
            <w:r w:rsidR="00C57405">
              <w:t>participate in AHC program</w:t>
            </w:r>
          </w:p>
        </w:tc>
        <w:tc>
          <w:tcPr>
            <w:tcW w:w="1909" w:type="dxa"/>
          </w:tcPr>
          <w:p w14:paraId="17F4B7E8" w14:textId="5DC238E9" w:rsidR="00C57405" w:rsidRPr="001B1073" w:rsidRDefault="00C57405" w:rsidP="00C57405">
            <w:r>
              <w:t xml:space="preserve">AHC Care Navigators </w:t>
            </w:r>
            <w:r w:rsidR="00E5461F">
              <w:t>health departments (during AHC program); aggregated reports</w:t>
            </w:r>
            <w:r>
              <w:t>.</w:t>
            </w:r>
          </w:p>
        </w:tc>
        <w:tc>
          <w:tcPr>
            <w:tcW w:w="2141" w:type="dxa"/>
          </w:tcPr>
          <w:p w14:paraId="223FFF7F" w14:textId="77777777" w:rsidR="00C57405" w:rsidRPr="001B1073" w:rsidRDefault="00C57405" w:rsidP="00C57405">
            <w:r w:rsidRPr="001B1073">
              <w:t>Board approved: 12/12/2017.</w:t>
            </w:r>
          </w:p>
          <w:p w14:paraId="0C39782B" w14:textId="77777777" w:rsidR="00C57405" w:rsidRPr="001B1073" w:rsidRDefault="00C57405" w:rsidP="00C57405"/>
          <w:p w14:paraId="13C3B29C" w14:textId="23A0C891" w:rsidR="00C57405" w:rsidRDefault="00CA541D" w:rsidP="00C57405">
            <w:pPr>
              <w:rPr>
                <w:b/>
              </w:rPr>
            </w:pPr>
            <w:r>
              <w:t>Active.</w:t>
            </w:r>
          </w:p>
        </w:tc>
      </w:tr>
      <w:tr w:rsidR="00E5461F" w14:paraId="2150BBB6" w14:textId="77777777" w:rsidTr="00E5461F">
        <w:trPr>
          <w:tblHeader/>
        </w:trPr>
        <w:tc>
          <w:tcPr>
            <w:tcW w:w="1535" w:type="dxa"/>
          </w:tcPr>
          <w:p w14:paraId="2B231249" w14:textId="77777777" w:rsidR="00C57405" w:rsidRPr="00EA746D" w:rsidRDefault="00595C6F" w:rsidP="00C57405">
            <w:pPr>
              <w:rPr>
                <w:b/>
              </w:rPr>
            </w:pPr>
            <w:hyperlink r:id="rId19" w:history="1">
              <w:r w:rsidR="00C57405" w:rsidRPr="001B1073">
                <w:rPr>
                  <w:rStyle w:val="Hyperlink"/>
                  <w:b/>
                </w:rPr>
                <w:t>MyHealth Statistics (1033)</w:t>
              </w:r>
            </w:hyperlink>
          </w:p>
        </w:tc>
        <w:tc>
          <w:tcPr>
            <w:tcW w:w="5757" w:type="dxa"/>
          </w:tcPr>
          <w:p w14:paraId="7B8154BB" w14:textId="77777777" w:rsidR="00C57405" w:rsidRPr="001B1073" w:rsidRDefault="00C57405" w:rsidP="00C57405">
            <w:r w:rsidRPr="001B1073">
              <w:t>Enable MyHealth to utilize the approved measures in this data request from data in its system to demonstrate its own value and provide public visibility into the health of the community.</w:t>
            </w:r>
          </w:p>
        </w:tc>
        <w:tc>
          <w:tcPr>
            <w:tcW w:w="4043" w:type="dxa"/>
          </w:tcPr>
          <w:p w14:paraId="2B9C7E73" w14:textId="77777777" w:rsidR="00C57405" w:rsidRPr="00B45700" w:rsidRDefault="00C57405" w:rsidP="00C57405">
            <w:r w:rsidRPr="00B45700">
              <w:t xml:space="preserve">Row-level data? </w:t>
            </w:r>
            <w:r>
              <w:t>No</w:t>
            </w:r>
          </w:p>
          <w:p w14:paraId="2DABC6A3" w14:textId="77777777" w:rsidR="00C57405" w:rsidRPr="00B45700" w:rsidRDefault="00C57405" w:rsidP="00C57405">
            <w:r w:rsidRPr="00B45700">
              <w:t xml:space="preserve">Identifiable data? </w:t>
            </w:r>
            <w:r>
              <w:t>No</w:t>
            </w:r>
          </w:p>
          <w:p w14:paraId="31F03248" w14:textId="77777777" w:rsidR="00C57405" w:rsidRPr="00B45700" w:rsidRDefault="00C57405" w:rsidP="00C57405">
            <w:r w:rsidRPr="00B45700">
              <w:t xml:space="preserve">To be shared publicly? </w:t>
            </w:r>
            <w:r>
              <w:t>Yes</w:t>
            </w:r>
          </w:p>
          <w:p w14:paraId="66C5D08A" w14:textId="77777777" w:rsidR="00C57405" w:rsidRPr="00B45700" w:rsidRDefault="00C57405" w:rsidP="00C57405">
            <w:r w:rsidRPr="00B45700">
              <w:t xml:space="preserve">Data time period?  </w:t>
            </w:r>
            <w:r>
              <w:t>All available</w:t>
            </w:r>
          </w:p>
          <w:p w14:paraId="4DDE3CE9" w14:textId="77777777" w:rsidR="00C57405" w:rsidRPr="001B1073" w:rsidRDefault="00C57405" w:rsidP="00C57405">
            <w:r w:rsidRPr="00B45700">
              <w:t xml:space="preserve">Updated: </w:t>
            </w:r>
            <w:r>
              <w:t>Daily</w:t>
            </w:r>
          </w:p>
        </w:tc>
        <w:tc>
          <w:tcPr>
            <w:tcW w:w="1530" w:type="dxa"/>
          </w:tcPr>
          <w:p w14:paraId="61D39D5F" w14:textId="066FF28B" w:rsidR="00C57405" w:rsidRPr="00EA746D" w:rsidRDefault="00E5461F" w:rsidP="00C57405">
            <w:pPr>
              <w:rPr>
                <w:b/>
              </w:rPr>
            </w:pPr>
            <w:r>
              <w:t>All Data Suppliers (except any who request exclusion)</w:t>
            </w:r>
          </w:p>
        </w:tc>
        <w:tc>
          <w:tcPr>
            <w:tcW w:w="1909" w:type="dxa"/>
          </w:tcPr>
          <w:p w14:paraId="0E49207A" w14:textId="77777777" w:rsidR="00C57405" w:rsidRPr="001B1073" w:rsidRDefault="00C57405" w:rsidP="00C57405">
            <w:r>
              <w:t>Public</w:t>
            </w:r>
          </w:p>
        </w:tc>
        <w:tc>
          <w:tcPr>
            <w:tcW w:w="2141" w:type="dxa"/>
          </w:tcPr>
          <w:p w14:paraId="266FAF6E" w14:textId="77777777" w:rsidR="00C57405" w:rsidRPr="001B1073" w:rsidRDefault="00C57405" w:rsidP="00C57405">
            <w:r w:rsidRPr="001B1073">
              <w:t>Board approved: 12/12/2017.</w:t>
            </w:r>
          </w:p>
          <w:p w14:paraId="25A9D0E6" w14:textId="77777777" w:rsidR="00C57405" w:rsidRPr="001B1073" w:rsidRDefault="00C57405" w:rsidP="00C57405"/>
          <w:p w14:paraId="7EBFDB65" w14:textId="2FBA8D4D" w:rsidR="00C57405" w:rsidRDefault="009D2F30" w:rsidP="00C57405">
            <w:pPr>
              <w:rPr>
                <w:b/>
              </w:rPr>
            </w:pPr>
            <w:r>
              <w:t xml:space="preserve">Not </w:t>
            </w:r>
            <w:r w:rsidR="00E5461F">
              <w:t>active</w:t>
            </w:r>
            <w:r w:rsidR="00A4538F">
              <w:t>,</w:t>
            </w:r>
            <w:r w:rsidR="009B59C1">
              <w:t xml:space="preserve"> but </w:t>
            </w:r>
            <w:r w:rsidR="00C7575F">
              <w:t>could become active</w:t>
            </w:r>
            <w:r w:rsidR="009B59C1">
              <w:t>.</w:t>
            </w:r>
          </w:p>
        </w:tc>
      </w:tr>
      <w:tr w:rsidR="00E5461F" w14:paraId="17572B31" w14:textId="77777777" w:rsidTr="00E5461F">
        <w:trPr>
          <w:tblHeader/>
        </w:trPr>
        <w:tc>
          <w:tcPr>
            <w:tcW w:w="1535" w:type="dxa"/>
          </w:tcPr>
          <w:p w14:paraId="313DFF13" w14:textId="77777777" w:rsidR="00C57405" w:rsidRDefault="00595C6F" w:rsidP="00C57405">
            <w:pPr>
              <w:rPr>
                <w:b/>
              </w:rPr>
            </w:pPr>
            <w:hyperlink r:id="rId20" w:history="1">
              <w:r w:rsidR="00C57405" w:rsidRPr="002571FE">
                <w:rPr>
                  <w:rStyle w:val="Hyperlink"/>
                  <w:b/>
                </w:rPr>
                <w:t>OSDH Health Scoreboard Proxy for Obesity (1031)</w:t>
              </w:r>
            </w:hyperlink>
          </w:p>
        </w:tc>
        <w:tc>
          <w:tcPr>
            <w:tcW w:w="5757" w:type="dxa"/>
          </w:tcPr>
          <w:p w14:paraId="326F3A18" w14:textId="77777777" w:rsidR="00C57405" w:rsidRPr="002571FE" w:rsidRDefault="00C57405" w:rsidP="00C57405">
            <w:r>
              <w:t>Generate a proxy measure for OSDH to utilize in assessing performance on core strategic map measures/indicators.</w:t>
            </w:r>
          </w:p>
        </w:tc>
        <w:tc>
          <w:tcPr>
            <w:tcW w:w="4043" w:type="dxa"/>
          </w:tcPr>
          <w:p w14:paraId="70147B6A" w14:textId="77777777" w:rsidR="00C57405" w:rsidRPr="00B45700" w:rsidRDefault="00C57405" w:rsidP="00C57405">
            <w:r w:rsidRPr="00B45700">
              <w:t xml:space="preserve">Row-level data? </w:t>
            </w:r>
            <w:r>
              <w:t>No</w:t>
            </w:r>
          </w:p>
          <w:p w14:paraId="5CCF8366" w14:textId="77777777" w:rsidR="00C57405" w:rsidRPr="00B45700" w:rsidRDefault="00C57405" w:rsidP="00C57405">
            <w:r w:rsidRPr="00B45700">
              <w:t xml:space="preserve">Identifiable data? </w:t>
            </w:r>
            <w:r>
              <w:t>No</w:t>
            </w:r>
          </w:p>
          <w:p w14:paraId="1FF0BD7E" w14:textId="77777777" w:rsidR="00C57405" w:rsidRPr="00B45700" w:rsidRDefault="00C57405" w:rsidP="00C57405">
            <w:r w:rsidRPr="00B45700">
              <w:t xml:space="preserve">To be shared publicly? </w:t>
            </w:r>
            <w:r>
              <w:t>Yes</w:t>
            </w:r>
          </w:p>
          <w:p w14:paraId="71A251A7" w14:textId="77777777" w:rsidR="00C57405" w:rsidRPr="00B45700" w:rsidRDefault="00C57405" w:rsidP="00C57405">
            <w:r w:rsidRPr="00B45700">
              <w:t xml:space="preserve">Data time period?  </w:t>
            </w:r>
            <w:r>
              <w:t>All available</w:t>
            </w:r>
          </w:p>
          <w:p w14:paraId="7B236D6C" w14:textId="77777777" w:rsidR="00C57405" w:rsidRPr="00B45700" w:rsidRDefault="00C57405" w:rsidP="00C57405">
            <w:r w:rsidRPr="00B45700">
              <w:t xml:space="preserve">Updated: </w:t>
            </w:r>
            <w:r>
              <w:t>Monthly</w:t>
            </w:r>
          </w:p>
          <w:p w14:paraId="1929CEE2" w14:textId="77777777" w:rsidR="00C57405" w:rsidRDefault="00C57405" w:rsidP="00C57405">
            <w:pPr>
              <w:rPr>
                <w:b/>
              </w:rPr>
            </w:pPr>
          </w:p>
        </w:tc>
        <w:tc>
          <w:tcPr>
            <w:tcW w:w="1530" w:type="dxa"/>
          </w:tcPr>
          <w:p w14:paraId="73F2774F" w14:textId="579A9B5E" w:rsidR="00C57405" w:rsidRPr="002571FE" w:rsidRDefault="00E5461F" w:rsidP="00C57405">
            <w:r w:rsidRPr="002571FE">
              <w:t>All data sources</w:t>
            </w:r>
            <w:r>
              <w:t xml:space="preserve"> (except any who request exclusion)</w:t>
            </w:r>
          </w:p>
        </w:tc>
        <w:tc>
          <w:tcPr>
            <w:tcW w:w="1909" w:type="dxa"/>
          </w:tcPr>
          <w:p w14:paraId="37D80F48" w14:textId="77777777" w:rsidR="00C57405" w:rsidRPr="002571FE" w:rsidRDefault="00C57405" w:rsidP="00C57405">
            <w:r>
              <w:t>OSDH for public release</w:t>
            </w:r>
          </w:p>
        </w:tc>
        <w:tc>
          <w:tcPr>
            <w:tcW w:w="2141" w:type="dxa"/>
          </w:tcPr>
          <w:p w14:paraId="76CF011D" w14:textId="77777777" w:rsidR="00C57405" w:rsidRPr="002571FE" w:rsidRDefault="00C57405" w:rsidP="00C57405">
            <w:r w:rsidRPr="002571FE">
              <w:t>Board approved: 10/11/2016.</w:t>
            </w:r>
          </w:p>
          <w:p w14:paraId="7E6AAC11" w14:textId="77777777" w:rsidR="00C57405" w:rsidRPr="002571FE" w:rsidRDefault="00C57405" w:rsidP="00C57405"/>
          <w:p w14:paraId="5D58162A" w14:textId="62010BE1" w:rsidR="00C57405" w:rsidRDefault="00E5461F" w:rsidP="00C57405">
            <w:pPr>
              <w:rPr>
                <w:b/>
              </w:rPr>
            </w:pPr>
            <w:r>
              <w:t>Not active</w:t>
            </w:r>
            <w:r w:rsidR="00C7575F">
              <w:t>, but could become active</w:t>
            </w:r>
            <w:r>
              <w:t>.</w:t>
            </w:r>
          </w:p>
        </w:tc>
      </w:tr>
      <w:tr w:rsidR="00E5461F" w14:paraId="4CE50B93" w14:textId="77777777" w:rsidTr="00E5461F">
        <w:trPr>
          <w:tblHeader/>
        </w:trPr>
        <w:tc>
          <w:tcPr>
            <w:tcW w:w="1535" w:type="dxa"/>
          </w:tcPr>
          <w:p w14:paraId="0620B9CA" w14:textId="77777777" w:rsidR="00C57405" w:rsidRPr="00EA746D" w:rsidRDefault="00595C6F" w:rsidP="00C57405">
            <w:pPr>
              <w:rPr>
                <w:b/>
              </w:rPr>
            </w:pPr>
            <w:hyperlink r:id="rId21" w:history="1">
              <w:r w:rsidR="00C57405" w:rsidRPr="00B45700">
                <w:rPr>
                  <w:rStyle w:val="Hyperlink"/>
                  <w:b/>
                </w:rPr>
                <w:t>ODMHSAS – ProAct Data Support (1030)</w:t>
              </w:r>
            </w:hyperlink>
          </w:p>
        </w:tc>
        <w:tc>
          <w:tcPr>
            <w:tcW w:w="5757" w:type="dxa"/>
          </w:tcPr>
          <w:p w14:paraId="30843CB2" w14:textId="77777777" w:rsidR="00C57405" w:rsidRPr="00B45700" w:rsidRDefault="00C57405" w:rsidP="00C57405">
            <w:r w:rsidRPr="00B45700">
              <w:t>Health providers at ODMHSAS-sponsored behavioral health homes use a state-purchased population management tool called ProAct to monitor health home members’ conditions and needs. Data is requested from MyHealth participants for patients who are part of an ODMHSAS health home.</w:t>
            </w:r>
          </w:p>
        </w:tc>
        <w:tc>
          <w:tcPr>
            <w:tcW w:w="4043" w:type="dxa"/>
          </w:tcPr>
          <w:p w14:paraId="5C1948FC" w14:textId="77777777" w:rsidR="00C57405" w:rsidRPr="00B45700" w:rsidRDefault="00C57405" w:rsidP="00C57405">
            <w:r w:rsidRPr="00B45700">
              <w:t>Row-level data? Yes</w:t>
            </w:r>
          </w:p>
          <w:p w14:paraId="5111E0F5" w14:textId="77777777" w:rsidR="00C57405" w:rsidRPr="00B45700" w:rsidRDefault="00C57405" w:rsidP="00C57405">
            <w:r w:rsidRPr="00B45700">
              <w:t>Identifiable data? Yes</w:t>
            </w:r>
          </w:p>
          <w:p w14:paraId="35F0090C" w14:textId="77777777" w:rsidR="00C57405" w:rsidRPr="00B45700" w:rsidRDefault="00C57405" w:rsidP="00C57405">
            <w:r w:rsidRPr="00B45700">
              <w:t>To be shared publicly? No</w:t>
            </w:r>
          </w:p>
          <w:p w14:paraId="5497D65E" w14:textId="77777777" w:rsidR="00C57405" w:rsidRPr="00B45700" w:rsidRDefault="00C57405" w:rsidP="00C57405">
            <w:r w:rsidRPr="00B45700">
              <w:t>Data time period?  Current</w:t>
            </w:r>
          </w:p>
          <w:p w14:paraId="6007B926" w14:textId="77777777" w:rsidR="00C57405" w:rsidRPr="00B45700" w:rsidRDefault="00C57405" w:rsidP="00C57405">
            <w:r w:rsidRPr="00B45700">
              <w:t>Updated: Daily</w:t>
            </w:r>
          </w:p>
          <w:p w14:paraId="2356E151" w14:textId="77777777" w:rsidR="00C57405" w:rsidRPr="00B45700" w:rsidRDefault="00C57405" w:rsidP="00C57405"/>
        </w:tc>
        <w:tc>
          <w:tcPr>
            <w:tcW w:w="1530" w:type="dxa"/>
          </w:tcPr>
          <w:p w14:paraId="570E933A" w14:textId="77777777" w:rsidR="00C57405" w:rsidRPr="00B45700" w:rsidRDefault="00C57405" w:rsidP="00C57405">
            <w:r w:rsidRPr="00B45700">
              <w:lastRenderedPageBreak/>
              <w:t>All participating MyHealth data sources.</w:t>
            </w:r>
          </w:p>
        </w:tc>
        <w:tc>
          <w:tcPr>
            <w:tcW w:w="1909" w:type="dxa"/>
          </w:tcPr>
          <w:p w14:paraId="6532F7C0" w14:textId="77777777" w:rsidR="00C57405" w:rsidRPr="00B45700" w:rsidRDefault="00C57405" w:rsidP="00C57405">
            <w:r w:rsidRPr="00B45700">
              <w:t>ODMHSAS health home providers.</w:t>
            </w:r>
          </w:p>
        </w:tc>
        <w:tc>
          <w:tcPr>
            <w:tcW w:w="2141" w:type="dxa"/>
          </w:tcPr>
          <w:p w14:paraId="6F577F3A" w14:textId="77777777" w:rsidR="00C57405" w:rsidRDefault="00C57405" w:rsidP="00C57405">
            <w:r w:rsidRPr="00B45700">
              <w:t>Board approved: 10/11/2016.</w:t>
            </w:r>
          </w:p>
          <w:p w14:paraId="0AB8C54A" w14:textId="77777777" w:rsidR="00C57405" w:rsidRDefault="00C57405" w:rsidP="00C57405"/>
          <w:p w14:paraId="6D756D0A" w14:textId="0336F038" w:rsidR="00C57405" w:rsidRPr="00B45700" w:rsidRDefault="00E5461F" w:rsidP="00C57405">
            <w:r>
              <w:t>Not active</w:t>
            </w:r>
            <w:r w:rsidR="00C7503A">
              <w:t>, but could become active</w:t>
            </w:r>
            <w:r w:rsidR="009E3EDC">
              <w:t>.</w:t>
            </w:r>
          </w:p>
        </w:tc>
      </w:tr>
      <w:tr w:rsidR="00E5461F" w14:paraId="7C4C336A" w14:textId="77777777" w:rsidTr="00E5461F">
        <w:tc>
          <w:tcPr>
            <w:tcW w:w="1535" w:type="dxa"/>
          </w:tcPr>
          <w:p w14:paraId="3C4774FA" w14:textId="23D18AD0" w:rsidR="00C57405" w:rsidRPr="009F1F7C" w:rsidRDefault="00595C6F" w:rsidP="00C57405">
            <w:pPr>
              <w:rPr>
                <w:b/>
              </w:rPr>
            </w:pPr>
            <w:hyperlink r:id="rId22" w:history="1">
              <w:r w:rsidR="00C57405" w:rsidRPr="00D43935">
                <w:rPr>
                  <w:rStyle w:val="Hyperlink"/>
                  <w:b/>
                </w:rPr>
                <w:t>OCCHD – Wellness Lead Indicators (1027)</w:t>
              </w:r>
            </w:hyperlink>
          </w:p>
        </w:tc>
        <w:tc>
          <w:tcPr>
            <w:tcW w:w="5757" w:type="dxa"/>
          </w:tcPr>
          <w:p w14:paraId="1C5F654D" w14:textId="77777777" w:rsidR="00C57405" w:rsidRDefault="00C57405" w:rsidP="00C57405">
            <w:r>
              <w:t>Aggregated reports for OKC City-County area residents:</w:t>
            </w:r>
          </w:p>
          <w:p w14:paraId="12BE0395" w14:textId="77777777" w:rsidR="00C57405" w:rsidRDefault="00C57405" w:rsidP="00C57405">
            <w:r>
              <w:t>Count of ER visits by home zip, age group, gender, race/ethnicity, chief complaint or diagnosis</w:t>
            </w:r>
          </w:p>
          <w:p w14:paraId="1E9C1EFB" w14:textId="77777777" w:rsidR="00C57405" w:rsidRDefault="00C57405" w:rsidP="00C57405">
            <w:r>
              <w:t>Count of mental health visits by zip and race (Caucasian, African American, American Indian)</w:t>
            </w:r>
          </w:p>
          <w:p w14:paraId="665D5155" w14:textId="77777777" w:rsidR="00C57405" w:rsidRDefault="00C57405" w:rsidP="00C57405">
            <w:r>
              <w:t>Count of individuals/cases by zip:</w:t>
            </w:r>
          </w:p>
          <w:p w14:paraId="25061507" w14:textId="77777777" w:rsidR="00C57405" w:rsidRDefault="00C57405" w:rsidP="00C57405">
            <w:pPr>
              <w:pStyle w:val="ListParagraph"/>
              <w:numPr>
                <w:ilvl w:val="0"/>
                <w:numId w:val="1"/>
              </w:numPr>
            </w:pPr>
            <w:r>
              <w:t>Diagnoses associated with Enteric cases (include Salmonella, Shigella, and Campylobateriosis)</w:t>
            </w:r>
          </w:p>
          <w:p w14:paraId="75617DA3" w14:textId="77777777" w:rsidR="00C57405" w:rsidRDefault="00C57405" w:rsidP="00C57405">
            <w:pPr>
              <w:pStyle w:val="ListParagraph"/>
              <w:numPr>
                <w:ilvl w:val="0"/>
                <w:numId w:val="1"/>
              </w:numPr>
            </w:pPr>
            <w:r>
              <w:t>Acute Hepatitis B</w:t>
            </w:r>
          </w:p>
          <w:p w14:paraId="381DDD16" w14:textId="77777777" w:rsidR="00C57405" w:rsidRDefault="00C57405" w:rsidP="00C57405">
            <w:pPr>
              <w:pStyle w:val="ListParagraph"/>
              <w:numPr>
                <w:ilvl w:val="0"/>
                <w:numId w:val="1"/>
              </w:numPr>
            </w:pPr>
            <w:r>
              <w:t>Chronic Hepatitis B</w:t>
            </w:r>
          </w:p>
          <w:p w14:paraId="6CB76D08" w14:textId="77777777" w:rsidR="00C57405" w:rsidRDefault="00C57405" w:rsidP="00C57405">
            <w:pPr>
              <w:pStyle w:val="ListParagraph"/>
              <w:numPr>
                <w:ilvl w:val="0"/>
                <w:numId w:val="1"/>
              </w:numPr>
            </w:pPr>
            <w:r>
              <w:t>Acute Hepatitis C</w:t>
            </w:r>
          </w:p>
          <w:p w14:paraId="53DEB627" w14:textId="77777777" w:rsidR="00C57405" w:rsidRDefault="00C57405" w:rsidP="00C57405">
            <w:pPr>
              <w:pStyle w:val="ListParagraph"/>
              <w:numPr>
                <w:ilvl w:val="0"/>
                <w:numId w:val="1"/>
              </w:numPr>
            </w:pPr>
            <w:r>
              <w:t>Chronic Hepatitis C</w:t>
            </w:r>
          </w:p>
          <w:p w14:paraId="21FEE5E3" w14:textId="77777777" w:rsidR="00C57405" w:rsidRDefault="00C57405" w:rsidP="00C57405">
            <w:pPr>
              <w:pStyle w:val="ListParagraph"/>
              <w:numPr>
                <w:ilvl w:val="0"/>
                <w:numId w:val="1"/>
              </w:numPr>
            </w:pPr>
            <w:r>
              <w:t>Other infectious diseases</w:t>
            </w:r>
          </w:p>
          <w:p w14:paraId="4AC608A3" w14:textId="77777777" w:rsidR="00C57405" w:rsidRDefault="00C57405" w:rsidP="00C57405">
            <w:r>
              <w:t>Count of events grouped by zip, age groups, race/ethnicity, and gender:</w:t>
            </w:r>
          </w:p>
          <w:p w14:paraId="2A462085" w14:textId="77777777" w:rsidR="00C57405" w:rsidRDefault="00C57405" w:rsidP="00C57405">
            <w:pPr>
              <w:pStyle w:val="ListParagraph"/>
              <w:numPr>
                <w:ilvl w:val="0"/>
                <w:numId w:val="1"/>
              </w:numPr>
            </w:pPr>
            <w:r>
              <w:t>Strokes</w:t>
            </w:r>
          </w:p>
          <w:p w14:paraId="5F5A56D8" w14:textId="77777777" w:rsidR="00C57405" w:rsidRDefault="00C57405" w:rsidP="00C57405">
            <w:pPr>
              <w:pStyle w:val="ListParagraph"/>
              <w:numPr>
                <w:ilvl w:val="0"/>
                <w:numId w:val="1"/>
              </w:numPr>
            </w:pPr>
            <w:r>
              <w:t>Heart attacks</w:t>
            </w:r>
          </w:p>
          <w:p w14:paraId="27C29614" w14:textId="77777777" w:rsidR="00C57405" w:rsidRDefault="00C57405" w:rsidP="00C57405">
            <w:pPr>
              <w:pStyle w:val="ListParagraph"/>
              <w:numPr>
                <w:ilvl w:val="0"/>
                <w:numId w:val="1"/>
              </w:numPr>
            </w:pPr>
            <w:r>
              <w:t>All cancer diagnosis</w:t>
            </w:r>
          </w:p>
          <w:p w14:paraId="6F044F89" w14:textId="77777777" w:rsidR="00C57405" w:rsidRDefault="00C57405" w:rsidP="00C57405">
            <w:pPr>
              <w:pStyle w:val="ListParagraph"/>
              <w:numPr>
                <w:ilvl w:val="0"/>
                <w:numId w:val="1"/>
              </w:numPr>
            </w:pPr>
            <w:r>
              <w:t>Breast cancer diagnosis</w:t>
            </w:r>
          </w:p>
          <w:p w14:paraId="136C258C" w14:textId="77777777" w:rsidR="00C57405" w:rsidRDefault="00C57405" w:rsidP="00C57405">
            <w:pPr>
              <w:pStyle w:val="ListParagraph"/>
              <w:numPr>
                <w:ilvl w:val="0"/>
                <w:numId w:val="1"/>
              </w:numPr>
            </w:pPr>
            <w:r>
              <w:t>Prostate cancer diagnosis</w:t>
            </w:r>
          </w:p>
          <w:p w14:paraId="36E91931" w14:textId="77777777" w:rsidR="00C57405" w:rsidRDefault="00C57405" w:rsidP="00C57405">
            <w:pPr>
              <w:pStyle w:val="ListParagraph"/>
              <w:numPr>
                <w:ilvl w:val="0"/>
                <w:numId w:val="1"/>
              </w:numPr>
            </w:pPr>
            <w:r>
              <w:t>Lung cancer diagnosis</w:t>
            </w:r>
          </w:p>
          <w:p w14:paraId="27784285" w14:textId="77777777" w:rsidR="00C57405" w:rsidRDefault="00C57405" w:rsidP="00C57405">
            <w:pPr>
              <w:pStyle w:val="ListParagraph"/>
              <w:numPr>
                <w:ilvl w:val="0"/>
                <w:numId w:val="1"/>
              </w:numPr>
            </w:pPr>
            <w:r>
              <w:t>Diabetes diagnosis</w:t>
            </w:r>
          </w:p>
          <w:p w14:paraId="4B9CBA5D" w14:textId="77777777" w:rsidR="00C57405" w:rsidRDefault="00C57405" w:rsidP="00C57405">
            <w:pPr>
              <w:pStyle w:val="ListParagraph"/>
              <w:numPr>
                <w:ilvl w:val="0"/>
                <w:numId w:val="1"/>
              </w:numPr>
            </w:pPr>
            <w:r>
              <w:t>Hypertension diagnosis</w:t>
            </w:r>
          </w:p>
          <w:p w14:paraId="56A657A7" w14:textId="77777777" w:rsidR="00C57405" w:rsidRDefault="00C57405" w:rsidP="00C57405">
            <w:pPr>
              <w:pStyle w:val="ListParagraph"/>
              <w:numPr>
                <w:ilvl w:val="0"/>
                <w:numId w:val="1"/>
              </w:numPr>
            </w:pPr>
            <w:r>
              <w:t>Average BMI</w:t>
            </w:r>
          </w:p>
        </w:tc>
        <w:tc>
          <w:tcPr>
            <w:tcW w:w="4043" w:type="dxa"/>
          </w:tcPr>
          <w:p w14:paraId="467D81A7" w14:textId="77777777" w:rsidR="00C57405" w:rsidRDefault="00C57405" w:rsidP="00C57405">
            <w:r>
              <w:t>Row-level data? No</w:t>
            </w:r>
          </w:p>
          <w:p w14:paraId="57E3B14B" w14:textId="77777777" w:rsidR="00C57405" w:rsidRDefault="00C57405" w:rsidP="00C57405">
            <w:r>
              <w:t>Identifiable data? No</w:t>
            </w:r>
          </w:p>
          <w:p w14:paraId="55156AFA" w14:textId="77777777" w:rsidR="00C57405" w:rsidRDefault="00C57405" w:rsidP="00C57405">
            <w:r>
              <w:t>To be shared publicly? Yes – After screening data and ensuring small cell sizes, etc. are accounted for, OCCHD may post data publicly.</w:t>
            </w:r>
          </w:p>
          <w:p w14:paraId="31B5E5C4" w14:textId="77777777" w:rsidR="00C57405" w:rsidRDefault="00C57405" w:rsidP="00C57405">
            <w:r>
              <w:t>Data time period?  1/1/2015 – no end date</w:t>
            </w:r>
          </w:p>
          <w:p w14:paraId="2A3C6E17" w14:textId="77777777" w:rsidR="00C57405" w:rsidRDefault="00C57405" w:rsidP="00C57405">
            <w:r>
              <w:t>Updated: Monthly</w:t>
            </w:r>
          </w:p>
          <w:p w14:paraId="6B5832AF" w14:textId="77777777" w:rsidR="00C57405" w:rsidRDefault="00C57405" w:rsidP="00C57405"/>
        </w:tc>
        <w:tc>
          <w:tcPr>
            <w:tcW w:w="1530" w:type="dxa"/>
          </w:tcPr>
          <w:p w14:paraId="319D449C" w14:textId="77777777" w:rsidR="00C57405" w:rsidRDefault="00C57405" w:rsidP="00C57405">
            <w:r>
              <w:t>All participating MyHealth data sources.</w:t>
            </w:r>
          </w:p>
        </w:tc>
        <w:tc>
          <w:tcPr>
            <w:tcW w:w="1909" w:type="dxa"/>
          </w:tcPr>
          <w:p w14:paraId="795DD0D6" w14:textId="77777777" w:rsidR="00C57405" w:rsidRDefault="00C57405" w:rsidP="00C57405">
            <w:r>
              <w:t xml:space="preserve">Oklahoma City-County Health Department (for OKC city / county residents); </w:t>
            </w:r>
          </w:p>
          <w:p w14:paraId="1F219C7A" w14:textId="77777777" w:rsidR="00C57405" w:rsidRDefault="00C57405" w:rsidP="00C57405"/>
          <w:p w14:paraId="677CBC2D" w14:textId="77777777" w:rsidR="00C57405" w:rsidRDefault="00C57405" w:rsidP="00C57405">
            <w:r>
              <w:t>Tulsa Health Department (for Tulsa county residents)</w:t>
            </w:r>
          </w:p>
        </w:tc>
        <w:tc>
          <w:tcPr>
            <w:tcW w:w="2141" w:type="dxa"/>
          </w:tcPr>
          <w:p w14:paraId="374BEB9B" w14:textId="77777777" w:rsidR="00C57405" w:rsidRDefault="00C57405" w:rsidP="00C57405">
            <w:r>
              <w:t>Board approved: 8/9/2016.</w:t>
            </w:r>
          </w:p>
          <w:p w14:paraId="769A6A4E" w14:textId="77777777" w:rsidR="00C57405" w:rsidRDefault="00C57405" w:rsidP="00C57405"/>
          <w:p w14:paraId="4F01349C" w14:textId="60A99AC6" w:rsidR="00244D6C" w:rsidRDefault="00741276" w:rsidP="00C57405">
            <w:r>
              <w:t>No</w:t>
            </w:r>
            <w:r w:rsidR="008D34CB">
              <w:t>t active.</w:t>
            </w:r>
          </w:p>
        </w:tc>
      </w:tr>
    </w:tbl>
    <w:p w14:paraId="2A0F0B5E" w14:textId="6D2019A0" w:rsidR="00653799" w:rsidRDefault="00655CD5">
      <w:r>
        <w:br w:type="textWrapping" w:clear="all"/>
      </w:r>
    </w:p>
    <w:p w14:paraId="1453DCC8" w14:textId="77777777" w:rsidR="000204A0" w:rsidRDefault="000204A0">
      <w:r>
        <w:br w:type="page"/>
      </w:r>
    </w:p>
    <w:p w14:paraId="1E33EED7" w14:textId="28AD1D90" w:rsidR="00653799" w:rsidRDefault="00653799">
      <w:r>
        <w:lastRenderedPageBreak/>
        <w:t>Data Interfaces approved by the Board of Directors (each subject to approval by individual data sources)</w:t>
      </w:r>
    </w:p>
    <w:tbl>
      <w:tblPr>
        <w:tblStyle w:val="TableGrid"/>
        <w:tblW w:w="0" w:type="auto"/>
        <w:tblLook w:val="04A0" w:firstRow="1" w:lastRow="0" w:firstColumn="1" w:lastColumn="0" w:noHBand="0" w:noVBand="1"/>
      </w:tblPr>
      <w:tblGrid>
        <w:gridCol w:w="2155"/>
        <w:gridCol w:w="4050"/>
        <w:gridCol w:w="6480"/>
        <w:gridCol w:w="4140"/>
      </w:tblGrid>
      <w:tr w:rsidR="00653799" w14:paraId="131B7B6B" w14:textId="77777777" w:rsidTr="00F16668">
        <w:tc>
          <w:tcPr>
            <w:tcW w:w="2155" w:type="dxa"/>
          </w:tcPr>
          <w:p w14:paraId="495E71D7" w14:textId="77777777" w:rsidR="00653799" w:rsidRPr="00653799" w:rsidRDefault="00653799">
            <w:pPr>
              <w:rPr>
                <w:b/>
              </w:rPr>
            </w:pPr>
            <w:r>
              <w:rPr>
                <w:b/>
              </w:rPr>
              <w:t>Interface</w:t>
            </w:r>
          </w:p>
        </w:tc>
        <w:tc>
          <w:tcPr>
            <w:tcW w:w="4050" w:type="dxa"/>
          </w:tcPr>
          <w:p w14:paraId="474226BD" w14:textId="77777777" w:rsidR="00653799" w:rsidRPr="00653799" w:rsidRDefault="00653799">
            <w:pPr>
              <w:rPr>
                <w:b/>
              </w:rPr>
            </w:pPr>
            <w:r>
              <w:rPr>
                <w:b/>
              </w:rPr>
              <w:t>Direction</w:t>
            </w:r>
          </w:p>
        </w:tc>
        <w:tc>
          <w:tcPr>
            <w:tcW w:w="6480" w:type="dxa"/>
          </w:tcPr>
          <w:p w14:paraId="4FD4EE23" w14:textId="77777777" w:rsidR="00653799" w:rsidRPr="00653799" w:rsidRDefault="00653799">
            <w:pPr>
              <w:rPr>
                <w:b/>
              </w:rPr>
            </w:pPr>
            <w:r>
              <w:rPr>
                <w:b/>
              </w:rPr>
              <w:t>Description</w:t>
            </w:r>
          </w:p>
        </w:tc>
        <w:tc>
          <w:tcPr>
            <w:tcW w:w="4140" w:type="dxa"/>
          </w:tcPr>
          <w:p w14:paraId="36C08783" w14:textId="77777777" w:rsidR="00653799" w:rsidRDefault="00653799">
            <w:pPr>
              <w:rPr>
                <w:b/>
              </w:rPr>
            </w:pPr>
            <w:r>
              <w:rPr>
                <w:b/>
              </w:rPr>
              <w:t>Authorization / History</w:t>
            </w:r>
          </w:p>
        </w:tc>
      </w:tr>
      <w:tr w:rsidR="00822CDB" w14:paraId="14B67B2A" w14:textId="77777777" w:rsidTr="00F16668">
        <w:tc>
          <w:tcPr>
            <w:tcW w:w="2155" w:type="dxa"/>
          </w:tcPr>
          <w:p w14:paraId="5C1A3FB9" w14:textId="1B54D0A5" w:rsidR="00822CDB" w:rsidRDefault="004436BF">
            <w:pPr>
              <w:rPr>
                <w:b/>
              </w:rPr>
            </w:pPr>
            <w:r>
              <w:rPr>
                <w:b/>
              </w:rPr>
              <w:t>Individual’s Request for Electronic Access via Medchart</w:t>
            </w:r>
          </w:p>
        </w:tc>
        <w:tc>
          <w:tcPr>
            <w:tcW w:w="4050" w:type="dxa"/>
          </w:tcPr>
          <w:p w14:paraId="760B8268" w14:textId="21F5B70D" w:rsidR="00822CDB" w:rsidRPr="00EB3457" w:rsidRDefault="00EB3457">
            <w:pPr>
              <w:rPr>
                <w:bCs/>
              </w:rPr>
            </w:pPr>
            <w:r>
              <w:rPr>
                <w:bCs/>
              </w:rPr>
              <w:t xml:space="preserve">Medchart is an app that enables a patient to request electronic copies of their medical records. </w:t>
            </w:r>
            <w:r w:rsidR="005C3430">
              <w:rPr>
                <w:bCs/>
              </w:rPr>
              <w:t>Using MyHealth-approved patient request form, and MyHealth-approved workflow, data from HIE may be electronically provided to Medchart for patient’s use.</w:t>
            </w:r>
          </w:p>
        </w:tc>
        <w:tc>
          <w:tcPr>
            <w:tcW w:w="6480" w:type="dxa"/>
          </w:tcPr>
          <w:p w14:paraId="3296C6B2" w14:textId="2B7801D5" w:rsidR="00822CDB" w:rsidRPr="005C3430" w:rsidRDefault="00964EFE">
            <w:pPr>
              <w:rPr>
                <w:bCs/>
              </w:rPr>
            </w:pPr>
            <w:r>
              <w:rPr>
                <w:bCs/>
              </w:rPr>
              <w:t xml:space="preserve">Pursuant to the Individual’s right to request access to their own records in the Information Blocking Rule, an individual may sign up with Medchart, </w:t>
            </w:r>
            <w:r w:rsidR="007B486B">
              <w:rPr>
                <w:bCs/>
              </w:rPr>
              <w:t>have their identity validated utilizing Medchart’s NIST IAL 2 process</w:t>
            </w:r>
            <w:r w:rsidR="001713FB">
              <w:rPr>
                <w:bCs/>
              </w:rPr>
              <w:t xml:space="preserve">, issue a request for a copy of his / her own medical records using a form that has been authorized by MyHealth’s P&amp;S Subcommittee, then Medchart may </w:t>
            </w:r>
            <w:r w:rsidR="009E3314">
              <w:rPr>
                <w:bCs/>
              </w:rPr>
              <w:t>receive electronic access to that chart from MyHealth for purpose of making available to the individual, through a workflow approved by the MyHealth P&amp;S Subcommittee</w:t>
            </w:r>
            <w:r w:rsidR="00B20413">
              <w:rPr>
                <w:bCs/>
              </w:rPr>
              <w:t>. Medchart must agree not to utilize personnel or resources who are outside the US to access or store health data, and must operate under an appropriate agreement with MyHealth.</w:t>
            </w:r>
          </w:p>
        </w:tc>
        <w:tc>
          <w:tcPr>
            <w:tcW w:w="4140" w:type="dxa"/>
          </w:tcPr>
          <w:p w14:paraId="04784E7E" w14:textId="77777777" w:rsidR="00822CDB" w:rsidRDefault="000A6A5E">
            <w:pPr>
              <w:rPr>
                <w:bCs/>
              </w:rPr>
            </w:pPr>
            <w:r>
              <w:rPr>
                <w:bCs/>
              </w:rPr>
              <w:t>Board approved: 6/14/2022.</w:t>
            </w:r>
          </w:p>
          <w:p w14:paraId="0F182E9E" w14:textId="77777777" w:rsidR="000A6A5E" w:rsidRDefault="000A6A5E">
            <w:pPr>
              <w:rPr>
                <w:bCs/>
              </w:rPr>
            </w:pPr>
          </w:p>
          <w:p w14:paraId="5D515854" w14:textId="6289AA75" w:rsidR="000A6A5E" w:rsidRPr="000A6A5E" w:rsidRDefault="000204A0">
            <w:pPr>
              <w:rPr>
                <w:bCs/>
              </w:rPr>
            </w:pPr>
            <w:r>
              <w:rPr>
                <w:bCs/>
              </w:rPr>
              <w:t xml:space="preserve">Not active. </w:t>
            </w:r>
            <w:r w:rsidR="004F3F11">
              <w:rPr>
                <w:bCs/>
              </w:rPr>
              <w:t xml:space="preserve">On hold pending resource allocation and prioritization. </w:t>
            </w:r>
            <w:r w:rsidR="009B07CF">
              <w:rPr>
                <w:bCs/>
              </w:rPr>
              <w:t>Requires Privacy &amp; Security subcommittee to approve an authorization form and workflow</w:t>
            </w:r>
            <w:r w:rsidR="00FD5D58">
              <w:rPr>
                <w:bCs/>
              </w:rPr>
              <w:t>. Contracting and interfac</w:t>
            </w:r>
            <w:r w:rsidR="00B5035C">
              <w:rPr>
                <w:bCs/>
              </w:rPr>
              <w:t>ing</w:t>
            </w:r>
            <w:r w:rsidR="00FD5D58">
              <w:rPr>
                <w:bCs/>
              </w:rPr>
              <w:t xml:space="preserve"> </w:t>
            </w:r>
            <w:r w:rsidR="00B5035C">
              <w:rPr>
                <w:bCs/>
              </w:rPr>
              <w:t>not begun</w:t>
            </w:r>
            <w:r w:rsidR="00FD5D58">
              <w:rPr>
                <w:bCs/>
              </w:rPr>
              <w:t>.</w:t>
            </w:r>
          </w:p>
        </w:tc>
      </w:tr>
      <w:tr w:rsidR="00781FAA" w14:paraId="13D2F469" w14:textId="77777777" w:rsidTr="00F16668">
        <w:tc>
          <w:tcPr>
            <w:tcW w:w="2155" w:type="dxa"/>
          </w:tcPr>
          <w:p w14:paraId="11853B62" w14:textId="0242366C" w:rsidR="00781FAA" w:rsidRDefault="000B498F">
            <w:pPr>
              <w:rPr>
                <w:b/>
              </w:rPr>
            </w:pPr>
            <w:r>
              <w:rPr>
                <w:b/>
              </w:rPr>
              <w:t>Authorization-</w:t>
            </w:r>
            <w:r w:rsidR="00C73B8A">
              <w:rPr>
                <w:b/>
              </w:rPr>
              <w:t>b</w:t>
            </w:r>
            <w:r>
              <w:rPr>
                <w:b/>
              </w:rPr>
              <w:t xml:space="preserve">ased </w:t>
            </w:r>
            <w:r w:rsidR="00C73B8A">
              <w:rPr>
                <w:b/>
              </w:rPr>
              <w:t>d</w:t>
            </w:r>
            <w:r>
              <w:rPr>
                <w:b/>
              </w:rPr>
              <w:t xml:space="preserve">isclosures </w:t>
            </w:r>
            <w:r w:rsidR="00024621">
              <w:rPr>
                <w:b/>
              </w:rPr>
              <w:t>for approved supplemental health insurance</w:t>
            </w:r>
          </w:p>
        </w:tc>
        <w:tc>
          <w:tcPr>
            <w:tcW w:w="4050" w:type="dxa"/>
          </w:tcPr>
          <w:p w14:paraId="3A63029A" w14:textId="200B9933" w:rsidR="00C73B8A" w:rsidRDefault="00C73B8A">
            <w:pPr>
              <w:rPr>
                <w:bCs/>
              </w:rPr>
            </w:pPr>
            <w:r>
              <w:rPr>
                <w:bCs/>
              </w:rPr>
              <w:t xml:space="preserve">With a </w:t>
            </w:r>
            <w:r w:rsidR="00335420">
              <w:rPr>
                <w:bCs/>
              </w:rPr>
              <w:t xml:space="preserve">patient-signed, </w:t>
            </w:r>
            <w:r>
              <w:rPr>
                <w:bCs/>
              </w:rPr>
              <w:t xml:space="preserve">MyHealth-approved patient authorization form </w:t>
            </w:r>
            <w:r w:rsidR="00335420">
              <w:rPr>
                <w:bCs/>
              </w:rPr>
              <w:t>from a patient</w:t>
            </w:r>
            <w:r w:rsidR="004D0AAD">
              <w:rPr>
                <w:bCs/>
              </w:rPr>
              <w:t xml:space="preserve"> </w:t>
            </w:r>
            <w:r>
              <w:rPr>
                <w:bCs/>
              </w:rPr>
              <w:t xml:space="preserve">and </w:t>
            </w:r>
            <w:r w:rsidR="004D0AAD">
              <w:rPr>
                <w:bCs/>
              </w:rPr>
              <w:t xml:space="preserve">appropriate subscriber agreement, MyHealth </w:t>
            </w:r>
            <w:r w:rsidR="00EC2D91">
              <w:rPr>
                <w:bCs/>
              </w:rPr>
              <w:t xml:space="preserve">may implement a workflow that enables a patient to request the disclosure of records to an approved </w:t>
            </w:r>
            <w:r w:rsidR="00D457FF">
              <w:rPr>
                <w:bCs/>
              </w:rPr>
              <w:t>supplemental insurance provider, and the provider may access or may receive the records in MyHealth for the patient.</w:t>
            </w:r>
          </w:p>
          <w:p w14:paraId="3B09D6C7" w14:textId="77777777" w:rsidR="00C73B8A" w:rsidRDefault="00C73B8A">
            <w:pPr>
              <w:rPr>
                <w:bCs/>
              </w:rPr>
            </w:pPr>
          </w:p>
          <w:p w14:paraId="3F43DD51" w14:textId="0367AAA3" w:rsidR="00781FAA" w:rsidRPr="00C73B8A" w:rsidRDefault="00C73B8A">
            <w:pPr>
              <w:rPr>
                <w:bCs/>
              </w:rPr>
            </w:pPr>
            <w:r>
              <w:rPr>
                <w:bCs/>
              </w:rPr>
              <w:t>American Fidelity, Clareto.</w:t>
            </w:r>
          </w:p>
        </w:tc>
        <w:tc>
          <w:tcPr>
            <w:tcW w:w="6480" w:type="dxa"/>
          </w:tcPr>
          <w:p w14:paraId="298E478A" w14:textId="4B8F1364" w:rsidR="00781FAA" w:rsidRPr="00D457FF" w:rsidRDefault="00D457FF">
            <w:pPr>
              <w:rPr>
                <w:bCs/>
              </w:rPr>
            </w:pPr>
            <w:r>
              <w:rPr>
                <w:bCs/>
              </w:rPr>
              <w:t xml:space="preserve">MyHealth </w:t>
            </w:r>
            <w:r w:rsidR="00156A59">
              <w:rPr>
                <w:bCs/>
              </w:rPr>
              <w:t>is authorized to fulfill a request for records about a patient from an approved supplemental insurance company</w:t>
            </w:r>
            <w:r w:rsidR="003C417F">
              <w:rPr>
                <w:bCs/>
              </w:rPr>
              <w:t xml:space="preserve"> or from an approved agent implementing approved standards,</w:t>
            </w:r>
            <w:r w:rsidR="00740420">
              <w:rPr>
                <w:bCs/>
              </w:rPr>
              <w:t xml:space="preserve"> based on a valid authorization signed by a patient requesting the unrestricted disclosure of all medical records. Such a workflow will </w:t>
            </w:r>
            <w:r w:rsidR="00C0208E">
              <w:rPr>
                <w:bCs/>
              </w:rPr>
              <w:t xml:space="preserve">either limit the organization’s ability to access any records other than those to which they are authorized, or </w:t>
            </w:r>
            <w:r w:rsidR="00066BB1">
              <w:rPr>
                <w:bCs/>
              </w:rPr>
              <w:t xml:space="preserve">will have immediate MyHealth supervision to ensure only proper access is made. </w:t>
            </w:r>
            <w:r w:rsidR="005A6C4D">
              <w:rPr>
                <w:bCs/>
              </w:rPr>
              <w:t>Audit records of all such access will be maintained by MyHealth and furnished for Data Suppliers upon request.</w:t>
            </w:r>
          </w:p>
        </w:tc>
        <w:tc>
          <w:tcPr>
            <w:tcW w:w="4140" w:type="dxa"/>
          </w:tcPr>
          <w:p w14:paraId="74089EEF" w14:textId="77777777" w:rsidR="00014126" w:rsidRDefault="006B39BC">
            <w:pPr>
              <w:rPr>
                <w:bCs/>
              </w:rPr>
            </w:pPr>
            <w:r>
              <w:rPr>
                <w:bCs/>
              </w:rPr>
              <w:t xml:space="preserve">Board approved: </w:t>
            </w:r>
          </w:p>
          <w:p w14:paraId="48E989C3" w14:textId="606D1F00" w:rsidR="00781FAA" w:rsidRDefault="00014126">
            <w:pPr>
              <w:rPr>
                <w:bCs/>
              </w:rPr>
            </w:pPr>
            <w:r>
              <w:rPr>
                <w:bCs/>
              </w:rPr>
              <w:t>Clareto - 10/12/2021</w:t>
            </w:r>
          </w:p>
          <w:p w14:paraId="2FE6E173" w14:textId="77777777" w:rsidR="00014126" w:rsidRDefault="00014126">
            <w:pPr>
              <w:rPr>
                <w:bCs/>
              </w:rPr>
            </w:pPr>
            <w:r>
              <w:rPr>
                <w:bCs/>
              </w:rPr>
              <w:t>American Fidelity - 12/14/2021</w:t>
            </w:r>
          </w:p>
          <w:p w14:paraId="57ED931A" w14:textId="77777777" w:rsidR="009A7BBF" w:rsidRDefault="009A7BBF">
            <w:pPr>
              <w:rPr>
                <w:bCs/>
              </w:rPr>
            </w:pPr>
          </w:p>
          <w:p w14:paraId="525B4E2D" w14:textId="63A90A53" w:rsidR="009A7BBF" w:rsidRPr="006B39BC" w:rsidRDefault="004F3F11">
            <w:pPr>
              <w:rPr>
                <w:bCs/>
              </w:rPr>
            </w:pPr>
            <w:r>
              <w:rPr>
                <w:bCs/>
              </w:rPr>
              <w:t xml:space="preserve">Not active. On hold pending resource allocation and prioritization. </w:t>
            </w:r>
            <w:r w:rsidR="009A7BBF">
              <w:rPr>
                <w:bCs/>
              </w:rPr>
              <w:t xml:space="preserve">Contracting </w:t>
            </w:r>
            <w:r w:rsidR="000D4B0B">
              <w:rPr>
                <w:bCs/>
              </w:rPr>
              <w:t>and workflow development is on hold</w:t>
            </w:r>
            <w:r w:rsidR="00D07B51">
              <w:rPr>
                <w:bCs/>
              </w:rPr>
              <w:t xml:space="preserve"> awaiting resource allocation. </w:t>
            </w:r>
          </w:p>
        </w:tc>
      </w:tr>
      <w:tr w:rsidR="00653799" w14:paraId="7E9BC597" w14:textId="77777777" w:rsidTr="00F16668">
        <w:tc>
          <w:tcPr>
            <w:tcW w:w="2155" w:type="dxa"/>
          </w:tcPr>
          <w:p w14:paraId="205A6EA5" w14:textId="77777777" w:rsidR="00653799" w:rsidRPr="001163BA" w:rsidRDefault="00653799">
            <w:pPr>
              <w:rPr>
                <w:b/>
              </w:rPr>
            </w:pPr>
            <w:r w:rsidRPr="001163BA">
              <w:rPr>
                <w:b/>
              </w:rPr>
              <w:t>Quest/DLO</w:t>
            </w:r>
          </w:p>
        </w:tc>
        <w:tc>
          <w:tcPr>
            <w:tcW w:w="4050" w:type="dxa"/>
          </w:tcPr>
          <w:p w14:paraId="48538150" w14:textId="77777777" w:rsidR="00653799" w:rsidRDefault="00653799" w:rsidP="00653799">
            <w:r>
              <w:t xml:space="preserve">From Quest/DLO -&gt; MyHealth </w:t>
            </w:r>
          </w:p>
        </w:tc>
        <w:tc>
          <w:tcPr>
            <w:tcW w:w="6480" w:type="dxa"/>
          </w:tcPr>
          <w:p w14:paraId="4694BDF1" w14:textId="77777777" w:rsidR="00653799" w:rsidRDefault="00653799" w:rsidP="00B141F1">
            <w:r>
              <w:t xml:space="preserve">Quest/DLO </w:t>
            </w:r>
            <w:r w:rsidR="00B141F1">
              <w:t>to send</w:t>
            </w:r>
            <w:r>
              <w:t xml:space="preserve"> labs on behalf of its customers who are also MyHealth Participants into the MyHealth network, unless the Participant contacts MyHealth and requests they not be sent.</w:t>
            </w:r>
          </w:p>
        </w:tc>
        <w:tc>
          <w:tcPr>
            <w:tcW w:w="4140" w:type="dxa"/>
          </w:tcPr>
          <w:p w14:paraId="154EDECA" w14:textId="4B435058" w:rsidR="00653799" w:rsidRDefault="00837E3B" w:rsidP="00B141F1">
            <w:r>
              <w:t>Authorized 8/23/2016.</w:t>
            </w:r>
          </w:p>
          <w:p w14:paraId="2B7F8A0D" w14:textId="77777777" w:rsidR="00027FD3" w:rsidRDefault="00027FD3" w:rsidP="00B141F1"/>
          <w:p w14:paraId="5347A542" w14:textId="3F064C25" w:rsidR="00027FD3" w:rsidRDefault="00767B3A" w:rsidP="00B141F1">
            <w:r>
              <w:t>Active</w:t>
            </w:r>
            <w:r w:rsidR="00027FD3">
              <w:t>.</w:t>
            </w:r>
          </w:p>
        </w:tc>
      </w:tr>
      <w:tr w:rsidR="00653799" w14:paraId="4AF45C75" w14:textId="77777777" w:rsidTr="00F16668">
        <w:tc>
          <w:tcPr>
            <w:tcW w:w="2155" w:type="dxa"/>
          </w:tcPr>
          <w:p w14:paraId="38F83249" w14:textId="77777777" w:rsidR="00653799" w:rsidRPr="001163BA" w:rsidRDefault="00653799">
            <w:pPr>
              <w:rPr>
                <w:b/>
              </w:rPr>
            </w:pPr>
            <w:r w:rsidRPr="001163BA">
              <w:rPr>
                <w:b/>
              </w:rPr>
              <w:t>LabCorp</w:t>
            </w:r>
          </w:p>
        </w:tc>
        <w:tc>
          <w:tcPr>
            <w:tcW w:w="4050" w:type="dxa"/>
          </w:tcPr>
          <w:p w14:paraId="24ADDAE3" w14:textId="77777777" w:rsidR="00653799" w:rsidRDefault="00653799" w:rsidP="00653799">
            <w:r>
              <w:t>From LabCorp -&gt; MyHealth</w:t>
            </w:r>
          </w:p>
        </w:tc>
        <w:tc>
          <w:tcPr>
            <w:tcW w:w="6480" w:type="dxa"/>
          </w:tcPr>
          <w:p w14:paraId="3CB2EB11" w14:textId="77777777" w:rsidR="00653799" w:rsidRDefault="00653799">
            <w:r>
              <w:t>Labcorp to send labs on behalf of its customers who are also MyHealth Participants into MyHealth’s network, unless the Participant contacts MyHealth and requests they not be sent.</w:t>
            </w:r>
          </w:p>
        </w:tc>
        <w:tc>
          <w:tcPr>
            <w:tcW w:w="4140" w:type="dxa"/>
          </w:tcPr>
          <w:p w14:paraId="6D87F549" w14:textId="41490988" w:rsidR="00653799" w:rsidRDefault="00837E3B">
            <w:r>
              <w:t>Authorized 8/23/2016.</w:t>
            </w:r>
            <w:r w:rsidR="00B141F1">
              <w:t xml:space="preserve"> </w:t>
            </w:r>
          </w:p>
          <w:p w14:paraId="2AED1A06" w14:textId="77777777" w:rsidR="00027FD3" w:rsidRDefault="00027FD3"/>
          <w:p w14:paraId="36F0B249" w14:textId="30F1382C" w:rsidR="00027FD3" w:rsidRDefault="000976DB">
            <w:r>
              <w:t xml:space="preserve">Not </w:t>
            </w:r>
            <w:r w:rsidR="00767B3A">
              <w:t>active</w:t>
            </w:r>
            <w:r>
              <w:t>.</w:t>
            </w:r>
          </w:p>
        </w:tc>
      </w:tr>
      <w:tr w:rsidR="00B141F1" w14:paraId="0239DF07" w14:textId="77777777" w:rsidTr="00F16668">
        <w:tc>
          <w:tcPr>
            <w:tcW w:w="2155" w:type="dxa"/>
          </w:tcPr>
          <w:p w14:paraId="1B8BC85A" w14:textId="77777777" w:rsidR="00B141F1" w:rsidRPr="001163BA" w:rsidRDefault="00B141F1">
            <w:pPr>
              <w:rPr>
                <w:b/>
              </w:rPr>
            </w:pPr>
            <w:r w:rsidRPr="001163BA">
              <w:rPr>
                <w:b/>
              </w:rPr>
              <w:t>RML</w:t>
            </w:r>
          </w:p>
        </w:tc>
        <w:tc>
          <w:tcPr>
            <w:tcW w:w="4050" w:type="dxa"/>
          </w:tcPr>
          <w:p w14:paraId="5C91E1FC" w14:textId="77777777" w:rsidR="00B141F1" w:rsidRDefault="00B141F1" w:rsidP="00653799">
            <w:r>
              <w:t>From RML -&gt; MyHealth</w:t>
            </w:r>
          </w:p>
        </w:tc>
        <w:tc>
          <w:tcPr>
            <w:tcW w:w="6480" w:type="dxa"/>
          </w:tcPr>
          <w:p w14:paraId="639770B6" w14:textId="77777777" w:rsidR="00B141F1" w:rsidRDefault="00B141F1">
            <w:r>
              <w:t>RML to send labs on behalf of its customers who are also MyHealth Participants into MyHealth’s network—requires customer authorize RML explicitly with RML-approved authorization form.</w:t>
            </w:r>
          </w:p>
        </w:tc>
        <w:tc>
          <w:tcPr>
            <w:tcW w:w="4140" w:type="dxa"/>
          </w:tcPr>
          <w:p w14:paraId="48240039" w14:textId="77777777" w:rsidR="00837E3B" w:rsidRDefault="00837E3B">
            <w:r>
              <w:t>Authorized 8/23/2016.</w:t>
            </w:r>
          </w:p>
          <w:p w14:paraId="56FA80EB" w14:textId="77777777" w:rsidR="00837E3B" w:rsidRDefault="00837E3B"/>
          <w:p w14:paraId="43CBF319" w14:textId="09341032" w:rsidR="00B141F1" w:rsidRDefault="00767B3A">
            <w:r>
              <w:t>Active</w:t>
            </w:r>
            <w:r w:rsidR="00837E3B">
              <w:t>.</w:t>
            </w:r>
          </w:p>
        </w:tc>
      </w:tr>
      <w:tr w:rsidR="00CC2AC3" w14:paraId="1999908E" w14:textId="77777777" w:rsidTr="00F16668">
        <w:tc>
          <w:tcPr>
            <w:tcW w:w="2155" w:type="dxa"/>
          </w:tcPr>
          <w:p w14:paraId="012DB3F6" w14:textId="4B5E5475" w:rsidR="00CC2AC3" w:rsidRPr="00786667" w:rsidRDefault="00595C6F" w:rsidP="00CC2AC3">
            <w:pPr>
              <w:rPr>
                <w:b/>
              </w:rPr>
            </w:pPr>
            <w:hyperlink r:id="rId23" w:history="1">
              <w:r w:rsidR="00CC2AC3" w:rsidRPr="00786667">
                <w:rPr>
                  <w:rStyle w:val="Hyperlink"/>
                  <w:b/>
                </w:rPr>
                <w:t>Patient-Centered Data Home (other HIEs across the country)</w:t>
              </w:r>
            </w:hyperlink>
          </w:p>
        </w:tc>
        <w:tc>
          <w:tcPr>
            <w:tcW w:w="4050" w:type="dxa"/>
          </w:tcPr>
          <w:p w14:paraId="515DA27C" w14:textId="77777777" w:rsidR="00CC2AC3" w:rsidRDefault="00CC2AC3" w:rsidP="00CC2AC3">
            <w:r>
              <w:t>Bidirectional</w:t>
            </w:r>
          </w:p>
        </w:tc>
        <w:tc>
          <w:tcPr>
            <w:tcW w:w="6480" w:type="dxa"/>
          </w:tcPr>
          <w:p w14:paraId="021438C6" w14:textId="7971D0EC" w:rsidR="00CC2AC3" w:rsidRDefault="00CC2AC3" w:rsidP="00CC2AC3">
            <w:r>
              <w:t xml:space="preserve">ADT messages from MyHealth data sources with a patient home zip code outside Oklahoma may be routed to a PCDH-participating HIE who serves that patient’s home region. Participating HIEs are subcontractor BAA’s under the PCDH Master Data Sharing Agreement. Subsequent exchange of full medical records may be made for Treatment purposes. MyHealth may receive and request data in the same manner. More information is available upon request, including the language of the national agreement. A longer description is available for review in the MyHealth_PCDH_Brief document that was created for the Privacy &amp; Security Committee, available at </w:t>
            </w:r>
            <w:r w:rsidR="00D12402">
              <w:t>the link in the first column</w:t>
            </w:r>
            <w:r>
              <w:t>.</w:t>
            </w:r>
            <w:r w:rsidR="00D12402">
              <w:t xml:space="preserve"> Current HIE participants are listed on SHIEC website at this </w:t>
            </w:r>
            <w:hyperlink r:id="rId24" w:history="1">
              <w:r w:rsidR="00D12402" w:rsidRPr="00D12402">
                <w:rPr>
                  <w:rStyle w:val="Hyperlink"/>
                </w:rPr>
                <w:t>link</w:t>
              </w:r>
            </w:hyperlink>
            <w:r w:rsidR="00D12402">
              <w:t>.</w:t>
            </w:r>
            <w:r>
              <w:t xml:space="preserve"> </w:t>
            </w:r>
          </w:p>
        </w:tc>
        <w:tc>
          <w:tcPr>
            <w:tcW w:w="4140" w:type="dxa"/>
          </w:tcPr>
          <w:p w14:paraId="4021FB97" w14:textId="4CDB85E5" w:rsidR="00D12402" w:rsidRDefault="00CC2AC3" w:rsidP="00D12402">
            <w:r>
              <w:t xml:space="preserve">Board </w:t>
            </w:r>
            <w:r w:rsidR="00D12402">
              <w:t>approved:</w:t>
            </w:r>
            <w:r>
              <w:t xml:space="preserve"> 12/12/2017</w:t>
            </w:r>
            <w:r w:rsidR="00355EEE">
              <w:t>.</w:t>
            </w:r>
          </w:p>
          <w:p w14:paraId="39DDF479" w14:textId="77777777" w:rsidR="00D12402" w:rsidRDefault="00D12402" w:rsidP="00D12402"/>
          <w:p w14:paraId="5CD2AF3D" w14:textId="7C9011B2" w:rsidR="00CC2AC3" w:rsidRDefault="00767B3A" w:rsidP="00D12402">
            <w:r>
              <w:t>Active</w:t>
            </w:r>
            <w:r w:rsidR="00D12402">
              <w:t>.</w:t>
            </w:r>
          </w:p>
        </w:tc>
      </w:tr>
      <w:tr w:rsidR="00690889" w14:paraId="295AE2B0" w14:textId="77777777" w:rsidTr="00F16668">
        <w:tc>
          <w:tcPr>
            <w:tcW w:w="2155" w:type="dxa"/>
          </w:tcPr>
          <w:p w14:paraId="7166BBFF" w14:textId="6B5FD4DB" w:rsidR="00690889" w:rsidRPr="00AF3183" w:rsidRDefault="00690889" w:rsidP="00CC2AC3">
            <w:pPr>
              <w:rPr>
                <w:b/>
                <w:bCs/>
              </w:rPr>
            </w:pPr>
            <w:r w:rsidRPr="00AF3183">
              <w:rPr>
                <w:b/>
                <w:bCs/>
              </w:rPr>
              <w:t>eHealth Exchange</w:t>
            </w:r>
          </w:p>
        </w:tc>
        <w:tc>
          <w:tcPr>
            <w:tcW w:w="4050" w:type="dxa"/>
          </w:tcPr>
          <w:p w14:paraId="0D471F2D" w14:textId="2F5526FC" w:rsidR="00690889" w:rsidRDefault="00690889" w:rsidP="00CC2AC3">
            <w:r>
              <w:t>Bidirectional</w:t>
            </w:r>
          </w:p>
        </w:tc>
        <w:tc>
          <w:tcPr>
            <w:tcW w:w="6480" w:type="dxa"/>
          </w:tcPr>
          <w:p w14:paraId="7C83A66F" w14:textId="1FDAFE79" w:rsidR="00690889" w:rsidRDefault="00856758" w:rsidP="00CC2AC3">
            <w:r>
              <w:t>MyHealth is approved to disclose data to approved eHealth Exchange participants for Treatment purposes</w:t>
            </w:r>
            <w:r w:rsidR="00807D7F">
              <w:t>, and to enable its members to query other members for Treatment purposes.</w:t>
            </w:r>
          </w:p>
        </w:tc>
        <w:tc>
          <w:tcPr>
            <w:tcW w:w="4140" w:type="dxa"/>
          </w:tcPr>
          <w:p w14:paraId="2269DFC4" w14:textId="77777777" w:rsidR="00690889" w:rsidRDefault="00E95296" w:rsidP="00D12402">
            <w:r>
              <w:t>Board approved: 4/8/2014.</w:t>
            </w:r>
          </w:p>
          <w:p w14:paraId="49F52DD4" w14:textId="77777777" w:rsidR="00E95296" w:rsidRDefault="00E95296" w:rsidP="00D12402"/>
          <w:p w14:paraId="6194ED27" w14:textId="18987331" w:rsidR="00E95296" w:rsidRDefault="00767B3A" w:rsidP="00D12402">
            <w:r>
              <w:t>Not active</w:t>
            </w:r>
            <w:r w:rsidR="0095201E">
              <w:t>.</w:t>
            </w:r>
          </w:p>
        </w:tc>
      </w:tr>
      <w:tr w:rsidR="001660AE" w14:paraId="1235C853" w14:textId="77777777" w:rsidTr="00F16668">
        <w:tc>
          <w:tcPr>
            <w:tcW w:w="2155" w:type="dxa"/>
          </w:tcPr>
          <w:p w14:paraId="3C6FA548" w14:textId="0E9FB735" w:rsidR="001660AE" w:rsidRPr="00AF3183" w:rsidRDefault="001660AE" w:rsidP="001660AE">
            <w:pPr>
              <w:rPr>
                <w:b/>
                <w:bCs/>
              </w:rPr>
            </w:pPr>
            <w:r>
              <w:rPr>
                <w:b/>
              </w:rPr>
              <w:t xml:space="preserve">COVID Public Health Reporting </w:t>
            </w:r>
          </w:p>
        </w:tc>
        <w:tc>
          <w:tcPr>
            <w:tcW w:w="4050" w:type="dxa"/>
          </w:tcPr>
          <w:p w14:paraId="2224936D" w14:textId="20442760" w:rsidR="001660AE" w:rsidRDefault="001660AE" w:rsidP="001660AE">
            <w:r>
              <w:t>MyHealth to THD, OCCHD, OSDH</w:t>
            </w:r>
          </w:p>
        </w:tc>
        <w:tc>
          <w:tcPr>
            <w:tcW w:w="6480" w:type="dxa"/>
          </w:tcPr>
          <w:p w14:paraId="70386F06" w14:textId="71A74D69" w:rsidR="001660AE" w:rsidRDefault="001660AE" w:rsidP="001660AE">
            <w:r>
              <w:t>MyHealth is authorized to share reports, perform interactive dashboard reviews, and share limited datasets of public health data from all participants to public health officials and others acting in the public’s interest (such as school district, city governments, etc.), in keeping with guidelines for pandemic-related data disclosures, and observing the minimum necessary access standard.  Public health officials may be given direct access to the interactive dashboards and more granular breakdowns of data, including PHI, as needed to perform public health activities.  Other parties will be permitted to view interactive dashboard reviews, to the extent the views are manipulated by MyHealth (for example: weekly COVID-19 briefings for the community).</w:t>
            </w:r>
          </w:p>
        </w:tc>
        <w:tc>
          <w:tcPr>
            <w:tcW w:w="4140" w:type="dxa"/>
          </w:tcPr>
          <w:p w14:paraId="3A51B68C" w14:textId="77777777" w:rsidR="001660AE" w:rsidRDefault="001660AE" w:rsidP="001660AE">
            <w:r>
              <w:t>Health department authorized: 4/14/2020</w:t>
            </w:r>
          </w:p>
          <w:p w14:paraId="6BD4E702" w14:textId="77777777" w:rsidR="001660AE" w:rsidRDefault="001660AE" w:rsidP="001660AE">
            <w:r>
              <w:t>MyHealth-guided access for attendees of periodic community forums: 8/11/2020</w:t>
            </w:r>
          </w:p>
          <w:p w14:paraId="61AF22DF" w14:textId="77777777" w:rsidR="001660AE" w:rsidRDefault="001660AE" w:rsidP="001660AE">
            <w:pPr>
              <w:rPr>
                <w:b/>
              </w:rPr>
            </w:pPr>
          </w:p>
          <w:p w14:paraId="40081C63" w14:textId="65A13992" w:rsidR="001660AE" w:rsidRDefault="00C34420" w:rsidP="001660AE">
            <w:r>
              <w:rPr>
                <w:bCs/>
              </w:rPr>
              <w:t xml:space="preserve">Not active since </w:t>
            </w:r>
            <w:r w:rsidR="001660AE">
              <w:rPr>
                <w:bCs/>
              </w:rPr>
              <w:t>12/16/2021</w:t>
            </w:r>
            <w:r w:rsidR="001660AE" w:rsidRPr="009A7BBF">
              <w:rPr>
                <w:bCs/>
              </w:rPr>
              <w:t>.</w:t>
            </w:r>
          </w:p>
        </w:tc>
      </w:tr>
    </w:tbl>
    <w:p w14:paraId="2511365C" w14:textId="77777777" w:rsidR="00653799" w:rsidRDefault="00653799" w:rsidP="006F057B"/>
    <w:sectPr w:rsidR="00653799" w:rsidSect="00E5461F">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E892" w14:textId="77777777" w:rsidR="000C09E3" w:rsidRDefault="000C09E3" w:rsidP="007F18B5">
      <w:pPr>
        <w:spacing w:after="0" w:line="240" w:lineRule="auto"/>
      </w:pPr>
      <w:r>
        <w:separator/>
      </w:r>
    </w:p>
  </w:endnote>
  <w:endnote w:type="continuationSeparator" w:id="0">
    <w:p w14:paraId="2D4E6CDA" w14:textId="77777777" w:rsidR="000C09E3" w:rsidRDefault="000C09E3" w:rsidP="007F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5140" w14:textId="77777777" w:rsidR="007F18B5" w:rsidRDefault="007F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00539"/>
      <w:docPartObj>
        <w:docPartGallery w:val="Page Numbers (Bottom of Page)"/>
        <w:docPartUnique/>
      </w:docPartObj>
    </w:sdtPr>
    <w:sdtEndPr/>
    <w:sdtContent>
      <w:sdt>
        <w:sdtPr>
          <w:id w:val="-1769616900"/>
          <w:docPartObj>
            <w:docPartGallery w:val="Page Numbers (Top of Page)"/>
            <w:docPartUnique/>
          </w:docPartObj>
        </w:sdtPr>
        <w:sdtEndPr/>
        <w:sdtContent>
          <w:p w14:paraId="0F504F2A" w14:textId="0E639899" w:rsidR="007F18B5" w:rsidRDefault="007F18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5E7F3C" w14:textId="77777777" w:rsidR="007F18B5" w:rsidRDefault="007F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97A5" w14:textId="77777777" w:rsidR="007F18B5" w:rsidRDefault="007F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BC71" w14:textId="77777777" w:rsidR="000C09E3" w:rsidRDefault="000C09E3" w:rsidP="007F18B5">
      <w:pPr>
        <w:spacing w:after="0" w:line="240" w:lineRule="auto"/>
      </w:pPr>
      <w:r>
        <w:separator/>
      </w:r>
    </w:p>
  </w:footnote>
  <w:footnote w:type="continuationSeparator" w:id="0">
    <w:p w14:paraId="2A10BF02" w14:textId="77777777" w:rsidR="000C09E3" w:rsidRDefault="000C09E3" w:rsidP="007F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BCD2" w14:textId="77777777" w:rsidR="007F18B5" w:rsidRDefault="007F1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5839" w14:textId="77777777" w:rsidR="007F18B5" w:rsidRDefault="007F1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28CB" w14:textId="77777777" w:rsidR="007F18B5" w:rsidRDefault="007F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5606"/>
    <w:multiLevelType w:val="hybridMultilevel"/>
    <w:tmpl w:val="7B085C7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A1F7B"/>
    <w:multiLevelType w:val="hybridMultilevel"/>
    <w:tmpl w:val="C01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04017">
    <w:abstractNumId w:val="1"/>
  </w:num>
  <w:num w:numId="2" w16cid:durableId="150975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30"/>
    <w:rsid w:val="000038B8"/>
    <w:rsid w:val="00014126"/>
    <w:rsid w:val="000204A0"/>
    <w:rsid w:val="00024621"/>
    <w:rsid w:val="00027FD3"/>
    <w:rsid w:val="00053948"/>
    <w:rsid w:val="00065366"/>
    <w:rsid w:val="00066BB1"/>
    <w:rsid w:val="0007330B"/>
    <w:rsid w:val="0009701C"/>
    <w:rsid w:val="000976DB"/>
    <w:rsid w:val="000A6A5E"/>
    <w:rsid w:val="000B498F"/>
    <w:rsid w:val="000C09E3"/>
    <w:rsid w:val="000C65C8"/>
    <w:rsid w:val="000D4B0B"/>
    <w:rsid w:val="000F6AD0"/>
    <w:rsid w:val="000F7B99"/>
    <w:rsid w:val="001035FC"/>
    <w:rsid w:val="00105DD9"/>
    <w:rsid w:val="001139B8"/>
    <w:rsid w:val="001163BA"/>
    <w:rsid w:val="0012350F"/>
    <w:rsid w:val="00130EEB"/>
    <w:rsid w:val="00156A59"/>
    <w:rsid w:val="00160D6E"/>
    <w:rsid w:val="001660AE"/>
    <w:rsid w:val="001713FB"/>
    <w:rsid w:val="00175FCE"/>
    <w:rsid w:val="00190A85"/>
    <w:rsid w:val="00194E96"/>
    <w:rsid w:val="001A4BFB"/>
    <w:rsid w:val="001A6C85"/>
    <w:rsid w:val="001B1073"/>
    <w:rsid w:val="001C4706"/>
    <w:rsid w:val="001D173D"/>
    <w:rsid w:val="001E6F27"/>
    <w:rsid w:val="001F4634"/>
    <w:rsid w:val="002060B5"/>
    <w:rsid w:val="00232545"/>
    <w:rsid w:val="00237F89"/>
    <w:rsid w:val="00237FD8"/>
    <w:rsid w:val="00244D6C"/>
    <w:rsid w:val="002571FE"/>
    <w:rsid w:val="00260682"/>
    <w:rsid w:val="00267403"/>
    <w:rsid w:val="0027108D"/>
    <w:rsid w:val="002732E4"/>
    <w:rsid w:val="002774BC"/>
    <w:rsid w:val="002946F0"/>
    <w:rsid w:val="002A6A90"/>
    <w:rsid w:val="002D3844"/>
    <w:rsid w:val="002F1C39"/>
    <w:rsid w:val="00323ED5"/>
    <w:rsid w:val="00335420"/>
    <w:rsid w:val="003451DC"/>
    <w:rsid w:val="00355EEE"/>
    <w:rsid w:val="003573D8"/>
    <w:rsid w:val="00387273"/>
    <w:rsid w:val="00394EEC"/>
    <w:rsid w:val="003A1569"/>
    <w:rsid w:val="003A2297"/>
    <w:rsid w:val="003C417F"/>
    <w:rsid w:val="003E3125"/>
    <w:rsid w:val="003F20B3"/>
    <w:rsid w:val="0040137A"/>
    <w:rsid w:val="00417D6E"/>
    <w:rsid w:val="00421849"/>
    <w:rsid w:val="0044046D"/>
    <w:rsid w:val="004436BF"/>
    <w:rsid w:val="0044586D"/>
    <w:rsid w:val="004523B8"/>
    <w:rsid w:val="0048698B"/>
    <w:rsid w:val="004A79DE"/>
    <w:rsid w:val="004B16F2"/>
    <w:rsid w:val="004C12B9"/>
    <w:rsid w:val="004C5007"/>
    <w:rsid w:val="004D00A2"/>
    <w:rsid w:val="004D0AAD"/>
    <w:rsid w:val="004D3864"/>
    <w:rsid w:val="004D7F90"/>
    <w:rsid w:val="004E321E"/>
    <w:rsid w:val="004F1629"/>
    <w:rsid w:val="004F3F11"/>
    <w:rsid w:val="004F68F8"/>
    <w:rsid w:val="004F71EC"/>
    <w:rsid w:val="005166C6"/>
    <w:rsid w:val="00525A75"/>
    <w:rsid w:val="0053409A"/>
    <w:rsid w:val="00576AFD"/>
    <w:rsid w:val="0058251D"/>
    <w:rsid w:val="00595C6F"/>
    <w:rsid w:val="005A1743"/>
    <w:rsid w:val="005A44B2"/>
    <w:rsid w:val="005A6C4D"/>
    <w:rsid w:val="005C3430"/>
    <w:rsid w:val="005D4608"/>
    <w:rsid w:val="005E41AF"/>
    <w:rsid w:val="005E5468"/>
    <w:rsid w:val="005E7E82"/>
    <w:rsid w:val="00607E98"/>
    <w:rsid w:val="00621FE6"/>
    <w:rsid w:val="0064100D"/>
    <w:rsid w:val="00643200"/>
    <w:rsid w:val="00653799"/>
    <w:rsid w:val="00655CD5"/>
    <w:rsid w:val="00657B28"/>
    <w:rsid w:val="006665E4"/>
    <w:rsid w:val="00666C4E"/>
    <w:rsid w:val="00674B41"/>
    <w:rsid w:val="00675DC8"/>
    <w:rsid w:val="00680D0F"/>
    <w:rsid w:val="006869B0"/>
    <w:rsid w:val="00690889"/>
    <w:rsid w:val="006A3897"/>
    <w:rsid w:val="006B3858"/>
    <w:rsid w:val="006B39BC"/>
    <w:rsid w:val="006B3C8C"/>
    <w:rsid w:val="006E22BB"/>
    <w:rsid w:val="006F057B"/>
    <w:rsid w:val="00716AB3"/>
    <w:rsid w:val="007318D6"/>
    <w:rsid w:val="00735C42"/>
    <w:rsid w:val="00740420"/>
    <w:rsid w:val="00741276"/>
    <w:rsid w:val="00744256"/>
    <w:rsid w:val="00745FE3"/>
    <w:rsid w:val="00751B6E"/>
    <w:rsid w:val="00756BA2"/>
    <w:rsid w:val="00767B3A"/>
    <w:rsid w:val="00781FAA"/>
    <w:rsid w:val="00786667"/>
    <w:rsid w:val="00796712"/>
    <w:rsid w:val="007A54C4"/>
    <w:rsid w:val="007A6DDE"/>
    <w:rsid w:val="007B486B"/>
    <w:rsid w:val="007B7A39"/>
    <w:rsid w:val="007F18B5"/>
    <w:rsid w:val="007F2E40"/>
    <w:rsid w:val="007F47DF"/>
    <w:rsid w:val="00807D7F"/>
    <w:rsid w:val="00815ACD"/>
    <w:rsid w:val="00817694"/>
    <w:rsid w:val="00822CDB"/>
    <w:rsid w:val="00835B8A"/>
    <w:rsid w:val="00837E3B"/>
    <w:rsid w:val="00856758"/>
    <w:rsid w:val="00874750"/>
    <w:rsid w:val="00886AA3"/>
    <w:rsid w:val="00886BB1"/>
    <w:rsid w:val="00891D3B"/>
    <w:rsid w:val="008A37BA"/>
    <w:rsid w:val="008A7CF1"/>
    <w:rsid w:val="008D015C"/>
    <w:rsid w:val="008D26C0"/>
    <w:rsid w:val="008D34CB"/>
    <w:rsid w:val="008E1D28"/>
    <w:rsid w:val="00905BA4"/>
    <w:rsid w:val="0095201E"/>
    <w:rsid w:val="00964EFE"/>
    <w:rsid w:val="009A15D2"/>
    <w:rsid w:val="009A7BBF"/>
    <w:rsid w:val="009B07CF"/>
    <w:rsid w:val="009B0E5F"/>
    <w:rsid w:val="009B59C1"/>
    <w:rsid w:val="009B635C"/>
    <w:rsid w:val="009D28D3"/>
    <w:rsid w:val="009D2F30"/>
    <w:rsid w:val="009D6E34"/>
    <w:rsid w:val="009E3314"/>
    <w:rsid w:val="009E3EDC"/>
    <w:rsid w:val="009E5028"/>
    <w:rsid w:val="009F1F7C"/>
    <w:rsid w:val="009F3BCF"/>
    <w:rsid w:val="00A12DB0"/>
    <w:rsid w:val="00A25B60"/>
    <w:rsid w:val="00A41487"/>
    <w:rsid w:val="00A4538F"/>
    <w:rsid w:val="00A479D7"/>
    <w:rsid w:val="00A61730"/>
    <w:rsid w:val="00A70580"/>
    <w:rsid w:val="00A81C8B"/>
    <w:rsid w:val="00A83E1C"/>
    <w:rsid w:val="00A95C55"/>
    <w:rsid w:val="00AA75D2"/>
    <w:rsid w:val="00AA79F6"/>
    <w:rsid w:val="00AF3183"/>
    <w:rsid w:val="00AF37DE"/>
    <w:rsid w:val="00B00F57"/>
    <w:rsid w:val="00B0699C"/>
    <w:rsid w:val="00B141F1"/>
    <w:rsid w:val="00B20413"/>
    <w:rsid w:val="00B45700"/>
    <w:rsid w:val="00B5035C"/>
    <w:rsid w:val="00B56C20"/>
    <w:rsid w:val="00B601BA"/>
    <w:rsid w:val="00B77EF6"/>
    <w:rsid w:val="00B84895"/>
    <w:rsid w:val="00B90124"/>
    <w:rsid w:val="00B93D54"/>
    <w:rsid w:val="00BA0550"/>
    <w:rsid w:val="00BA6B60"/>
    <w:rsid w:val="00BB355B"/>
    <w:rsid w:val="00BD3195"/>
    <w:rsid w:val="00C0208E"/>
    <w:rsid w:val="00C13E28"/>
    <w:rsid w:val="00C17302"/>
    <w:rsid w:val="00C22365"/>
    <w:rsid w:val="00C30EEB"/>
    <w:rsid w:val="00C316C4"/>
    <w:rsid w:val="00C34420"/>
    <w:rsid w:val="00C43641"/>
    <w:rsid w:val="00C57405"/>
    <w:rsid w:val="00C6416B"/>
    <w:rsid w:val="00C66553"/>
    <w:rsid w:val="00C73B8A"/>
    <w:rsid w:val="00C7503A"/>
    <w:rsid w:val="00C7575F"/>
    <w:rsid w:val="00C9116A"/>
    <w:rsid w:val="00CA541D"/>
    <w:rsid w:val="00CA730F"/>
    <w:rsid w:val="00CB2B96"/>
    <w:rsid w:val="00CC0BB1"/>
    <w:rsid w:val="00CC1C9B"/>
    <w:rsid w:val="00CC2AC3"/>
    <w:rsid w:val="00CD46BA"/>
    <w:rsid w:val="00CE435C"/>
    <w:rsid w:val="00D06042"/>
    <w:rsid w:val="00D07B51"/>
    <w:rsid w:val="00D12402"/>
    <w:rsid w:val="00D214A2"/>
    <w:rsid w:val="00D26D03"/>
    <w:rsid w:val="00D27871"/>
    <w:rsid w:val="00D3445C"/>
    <w:rsid w:val="00D408D4"/>
    <w:rsid w:val="00D43935"/>
    <w:rsid w:val="00D457FF"/>
    <w:rsid w:val="00D50E17"/>
    <w:rsid w:val="00D5362E"/>
    <w:rsid w:val="00D84533"/>
    <w:rsid w:val="00DA35E4"/>
    <w:rsid w:val="00DC4035"/>
    <w:rsid w:val="00DC69F4"/>
    <w:rsid w:val="00DD137C"/>
    <w:rsid w:val="00DD1CBA"/>
    <w:rsid w:val="00DD2966"/>
    <w:rsid w:val="00DD5AA6"/>
    <w:rsid w:val="00E07CE1"/>
    <w:rsid w:val="00E17D1B"/>
    <w:rsid w:val="00E47EBE"/>
    <w:rsid w:val="00E5461F"/>
    <w:rsid w:val="00E7380B"/>
    <w:rsid w:val="00E73AC2"/>
    <w:rsid w:val="00E93EF7"/>
    <w:rsid w:val="00E95296"/>
    <w:rsid w:val="00EA746D"/>
    <w:rsid w:val="00EB3457"/>
    <w:rsid w:val="00EC2D91"/>
    <w:rsid w:val="00ED51A3"/>
    <w:rsid w:val="00EF199E"/>
    <w:rsid w:val="00EF6018"/>
    <w:rsid w:val="00F072CE"/>
    <w:rsid w:val="00F1581E"/>
    <w:rsid w:val="00F158D8"/>
    <w:rsid w:val="00F15947"/>
    <w:rsid w:val="00F16668"/>
    <w:rsid w:val="00F16D01"/>
    <w:rsid w:val="00F20F90"/>
    <w:rsid w:val="00F362E0"/>
    <w:rsid w:val="00F60212"/>
    <w:rsid w:val="00F617CA"/>
    <w:rsid w:val="00F73942"/>
    <w:rsid w:val="00F9060A"/>
    <w:rsid w:val="00F96947"/>
    <w:rsid w:val="00FA3541"/>
    <w:rsid w:val="00FA637A"/>
    <w:rsid w:val="00FD1762"/>
    <w:rsid w:val="00FD5D58"/>
    <w:rsid w:val="00FE6DA8"/>
    <w:rsid w:val="00FF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4FAB"/>
  <w15:chartTrackingRefBased/>
  <w15:docId w15:val="{0F9C30F7-5FD0-4469-90A8-55B2DCC7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B41"/>
    <w:pPr>
      <w:ind w:left="720"/>
      <w:contextualSpacing/>
    </w:pPr>
  </w:style>
  <w:style w:type="paragraph" w:styleId="NoSpacing">
    <w:name w:val="No Spacing"/>
    <w:link w:val="NoSpacingChar"/>
    <w:uiPriority w:val="1"/>
    <w:qFormat/>
    <w:rsid w:val="00EA746D"/>
    <w:pPr>
      <w:spacing w:after="0" w:line="240" w:lineRule="auto"/>
    </w:pPr>
  </w:style>
  <w:style w:type="character" w:customStyle="1" w:styleId="NoSpacingChar">
    <w:name w:val="No Spacing Char"/>
    <w:basedOn w:val="DefaultParagraphFont"/>
    <w:link w:val="NoSpacing"/>
    <w:uiPriority w:val="1"/>
    <w:rsid w:val="00EA746D"/>
  </w:style>
  <w:style w:type="character" w:styleId="Hyperlink">
    <w:name w:val="Hyperlink"/>
    <w:basedOn w:val="DefaultParagraphFont"/>
    <w:uiPriority w:val="99"/>
    <w:unhideWhenUsed/>
    <w:rsid w:val="00D43935"/>
    <w:rPr>
      <w:color w:val="0563C1" w:themeColor="hyperlink"/>
      <w:u w:val="single"/>
    </w:rPr>
  </w:style>
  <w:style w:type="character" w:styleId="FollowedHyperlink">
    <w:name w:val="FollowedHyperlink"/>
    <w:basedOn w:val="DefaultParagraphFont"/>
    <w:uiPriority w:val="99"/>
    <w:semiHidden/>
    <w:unhideWhenUsed/>
    <w:rsid w:val="00D43935"/>
    <w:rPr>
      <w:color w:val="954F72" w:themeColor="followedHyperlink"/>
      <w:u w:val="single"/>
    </w:rPr>
  </w:style>
  <w:style w:type="character" w:customStyle="1" w:styleId="UnresolvedMention1">
    <w:name w:val="Unresolved Mention1"/>
    <w:basedOn w:val="DefaultParagraphFont"/>
    <w:uiPriority w:val="99"/>
    <w:semiHidden/>
    <w:unhideWhenUsed/>
    <w:rsid w:val="00B77EF6"/>
    <w:rPr>
      <w:color w:val="808080"/>
      <w:shd w:val="clear" w:color="auto" w:fill="E6E6E6"/>
    </w:rPr>
  </w:style>
  <w:style w:type="paragraph" w:styleId="BalloonText">
    <w:name w:val="Balloon Text"/>
    <w:basedOn w:val="Normal"/>
    <w:link w:val="BalloonTextChar"/>
    <w:uiPriority w:val="99"/>
    <w:semiHidden/>
    <w:unhideWhenUsed/>
    <w:rsid w:val="00D84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33"/>
    <w:rPr>
      <w:rFonts w:ascii="Segoe UI" w:hAnsi="Segoe UI" w:cs="Segoe UI"/>
      <w:sz w:val="18"/>
      <w:szCs w:val="18"/>
    </w:rPr>
  </w:style>
  <w:style w:type="character" w:styleId="UnresolvedMention">
    <w:name w:val="Unresolved Mention"/>
    <w:basedOn w:val="DefaultParagraphFont"/>
    <w:uiPriority w:val="99"/>
    <w:semiHidden/>
    <w:unhideWhenUsed/>
    <w:rsid w:val="00AF37DE"/>
    <w:rPr>
      <w:color w:val="605E5C"/>
      <w:shd w:val="clear" w:color="auto" w:fill="E1DFDD"/>
    </w:rPr>
  </w:style>
  <w:style w:type="paragraph" w:styleId="Header">
    <w:name w:val="header"/>
    <w:basedOn w:val="Normal"/>
    <w:link w:val="HeaderChar"/>
    <w:uiPriority w:val="99"/>
    <w:unhideWhenUsed/>
    <w:rsid w:val="007F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8B5"/>
  </w:style>
  <w:style w:type="paragraph" w:styleId="Footer">
    <w:name w:val="footer"/>
    <w:basedOn w:val="Normal"/>
    <w:link w:val="FooterChar"/>
    <w:uiPriority w:val="99"/>
    <w:unhideWhenUsed/>
    <w:rsid w:val="007F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health@myhealthaccess.net" TargetMode="External"/><Relationship Id="rId13" Type="http://schemas.openxmlformats.org/officeDocument/2006/relationships/hyperlink" Target="https://myhealth.sharefile.com/d-sc2ea6621ae04c499" TargetMode="External"/><Relationship Id="rId18" Type="http://schemas.openxmlformats.org/officeDocument/2006/relationships/hyperlink" Target="https://myhealthaccess.sharefile.com/d-sedf6a75bce649de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yhealthaccess.sharefile.com/d-s71063bc9e6a4c248" TargetMode="External"/><Relationship Id="rId7" Type="http://schemas.openxmlformats.org/officeDocument/2006/relationships/endnotes" Target="endnotes.xml"/><Relationship Id="rId12" Type="http://schemas.openxmlformats.org/officeDocument/2006/relationships/hyperlink" Target="https://myhealth.sharefile.com/d-s3bfdf603fc25416f8b830c88b4239bbe" TargetMode="External"/><Relationship Id="rId17" Type="http://schemas.openxmlformats.org/officeDocument/2006/relationships/hyperlink" Target="https://myhealth.sharefile.com/d-s8c610cea43e414e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yhealth.sharefile.com/d-s1f94d27603d4547a" TargetMode="External"/><Relationship Id="rId20" Type="http://schemas.openxmlformats.org/officeDocument/2006/relationships/hyperlink" Target="https://myhealthaccess.sharefile.com/d-s112d30be7584aa7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sharefile.com/d-s3114327d20964fe48e0817a0ca53b5a4" TargetMode="External"/><Relationship Id="rId24" Type="http://schemas.openxmlformats.org/officeDocument/2006/relationships/hyperlink" Target="https://strategichie.com/patient-centered-data-h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health.sharefile.com/d-s832826e4e4d4daeb" TargetMode="External"/><Relationship Id="rId23" Type="http://schemas.openxmlformats.org/officeDocument/2006/relationships/hyperlink" Target="https://myhealthaccess.sharefile.com/d-s1025f55902a94fe2ab3c24613b4712b0" TargetMode="External"/><Relationship Id="rId28" Type="http://schemas.openxmlformats.org/officeDocument/2006/relationships/footer" Target="footer2.xml"/><Relationship Id="rId10" Type="http://schemas.openxmlformats.org/officeDocument/2006/relationships/hyperlink" Target="https://myhealth.sharefile.com/d-s4ab3682402974702bd902677216abfd3" TargetMode="External"/><Relationship Id="rId19" Type="http://schemas.openxmlformats.org/officeDocument/2006/relationships/hyperlink" Target="https://myhealthaccess.sharefile.com/d-saaefbcd5ec542d7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healthaccess.net/policies" TargetMode="External"/><Relationship Id="rId14" Type="http://schemas.openxmlformats.org/officeDocument/2006/relationships/hyperlink" Target="https://myhealth.sharefile.com/d-s3ad1e4aea3bc444a8a15a72c1318fa42" TargetMode="External"/><Relationship Id="rId22" Type="http://schemas.openxmlformats.org/officeDocument/2006/relationships/hyperlink" Target="https://myhealthaccess.sharefile.com/d-sbab3ee18bbe4d258"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D6C3-C0E9-4BFF-A6F0-208E5DED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12279</TotalTime>
  <Pages>7</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Walker</dc:creator>
  <cp:keywords/>
  <dc:description/>
  <cp:lastModifiedBy>Joe Walker</cp:lastModifiedBy>
  <cp:revision>222</cp:revision>
  <dcterms:created xsi:type="dcterms:W3CDTF">2016-09-21T21:22:00Z</dcterms:created>
  <dcterms:modified xsi:type="dcterms:W3CDTF">2024-01-16T22:07:00Z</dcterms:modified>
</cp:coreProperties>
</file>